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9EFF6" w14:textId="77777777" w:rsidR="009348BE" w:rsidRDefault="009348BE" w:rsidP="009348BE">
      <w:pPr>
        <w:spacing w:before="63"/>
        <w:ind w:right="-432"/>
        <w:rPr>
          <w:rFonts w:ascii="Cambria" w:eastAsia="Cambria" w:hAnsi="Cambria" w:cs="Cambria"/>
          <w:b/>
          <w:bCs/>
          <w:spacing w:val="1"/>
          <w:sz w:val="28"/>
          <w:szCs w:val="28"/>
        </w:rPr>
      </w:pPr>
      <w:r>
        <w:rPr>
          <w:rFonts w:ascii="Cambria" w:eastAsia="Cambria" w:hAnsi="Cambria" w:cs="Cambria"/>
          <w:b/>
          <w:bCs/>
          <w:noProof/>
          <w:spacing w:val="1"/>
          <w:sz w:val="28"/>
          <w:szCs w:val="28"/>
        </w:rPr>
        <w:drawing>
          <wp:anchor distT="0" distB="0" distL="114300" distR="114300" simplePos="0" relativeHeight="251659264" behindDoc="0" locked="0" layoutInCell="1" allowOverlap="1" wp14:anchorId="5604281F" wp14:editId="788405C0">
            <wp:simplePos x="0" y="0"/>
            <wp:positionH relativeFrom="margin">
              <wp:posOffset>5280660</wp:posOffset>
            </wp:positionH>
            <wp:positionV relativeFrom="margin">
              <wp:posOffset>109855</wp:posOffset>
            </wp:positionV>
            <wp:extent cx="369570" cy="575945"/>
            <wp:effectExtent l="0" t="0" r="11430" b="825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ling-Canada_CMYK.eps"/>
                    <pic:cNvPicPr/>
                  </pic:nvPicPr>
                  <pic:blipFill>
                    <a:blip r:embed="rId9">
                      <a:extLst>
                        <a:ext uri="{28A0092B-C50C-407E-A947-70E740481C1C}">
                          <a14:useLocalDpi xmlns:a14="http://schemas.microsoft.com/office/drawing/2010/main" val="0"/>
                        </a:ext>
                      </a:extLst>
                    </a:blip>
                    <a:stretch>
                      <a:fillRect/>
                    </a:stretch>
                  </pic:blipFill>
                  <pic:spPr>
                    <a:xfrm>
                      <a:off x="0" y="0"/>
                      <a:ext cx="369570" cy="575945"/>
                    </a:xfrm>
                    <a:prstGeom prst="rect">
                      <a:avLst/>
                    </a:prstGeom>
                  </pic:spPr>
                </pic:pic>
              </a:graphicData>
            </a:graphic>
            <wp14:sizeRelH relativeFrom="page">
              <wp14:pctWidth>0</wp14:pctWidth>
            </wp14:sizeRelH>
            <wp14:sizeRelV relativeFrom="page">
              <wp14:pctHeight>0</wp14:pctHeight>
            </wp14:sizeRelV>
          </wp:anchor>
        </w:drawing>
      </w:r>
      <w:r>
        <w:rPr>
          <w:rFonts w:ascii="Cambria" w:eastAsia="Cambria" w:hAnsi="Cambria" w:cs="Cambria"/>
          <w:b/>
          <w:bCs/>
          <w:spacing w:val="1"/>
          <w:sz w:val="28"/>
          <w:szCs w:val="28"/>
        </w:rPr>
        <w:t>Canadian Team Ranking System</w:t>
      </w:r>
      <w:r>
        <w:rPr>
          <w:rFonts w:ascii="Cambria" w:eastAsia="Cambria" w:hAnsi="Cambria" w:cs="Cambria"/>
          <w:b/>
          <w:bCs/>
          <w:spacing w:val="-7"/>
          <w:sz w:val="28"/>
          <w:szCs w:val="28"/>
        </w:rPr>
        <w:t xml:space="preserve"> </w:t>
      </w:r>
      <w:r>
        <w:rPr>
          <w:rFonts w:ascii="Cambria" w:eastAsia="Cambria" w:hAnsi="Cambria" w:cs="Cambria"/>
          <w:b/>
          <w:bCs/>
          <w:spacing w:val="1"/>
          <w:sz w:val="28"/>
          <w:szCs w:val="28"/>
        </w:rPr>
        <w:t>&amp;</w:t>
      </w:r>
      <w:r>
        <w:rPr>
          <w:rFonts w:ascii="Cambria" w:eastAsia="Cambria" w:hAnsi="Cambria" w:cs="Cambria"/>
          <w:b/>
          <w:bCs/>
          <w:spacing w:val="-3"/>
          <w:sz w:val="28"/>
          <w:szCs w:val="28"/>
        </w:rPr>
        <w:t xml:space="preserve"> </w:t>
      </w:r>
      <w:r>
        <w:rPr>
          <w:rFonts w:ascii="Cambria" w:eastAsia="Cambria" w:hAnsi="Cambria" w:cs="Cambria"/>
          <w:b/>
          <w:bCs/>
          <w:spacing w:val="1"/>
          <w:sz w:val="28"/>
          <w:szCs w:val="28"/>
        </w:rPr>
        <w:t>Order Of Merit</w:t>
      </w:r>
    </w:p>
    <w:p w14:paraId="2BE79B97" w14:textId="77777777" w:rsidR="009348BE" w:rsidRDefault="009348BE" w:rsidP="009348BE">
      <w:pPr>
        <w:spacing w:before="63"/>
        <w:ind w:right="-432"/>
        <w:rPr>
          <w:rFonts w:ascii="Cambria" w:eastAsia="Cambria" w:hAnsi="Cambria" w:cs="Cambria"/>
          <w:sz w:val="28"/>
          <w:szCs w:val="28"/>
        </w:rPr>
      </w:pPr>
      <w:r w:rsidRPr="00B318C9">
        <w:rPr>
          <w:rFonts w:ascii="Cambria" w:eastAsia="Cambria" w:hAnsi="Cambria" w:cs="Cambria"/>
          <w:b/>
          <w:bCs/>
          <w:color w:val="FF0000"/>
          <w:spacing w:val="1"/>
          <w:sz w:val="28"/>
          <w:szCs w:val="28"/>
        </w:rPr>
        <w:t>*New*</w:t>
      </w:r>
      <w:r>
        <w:rPr>
          <w:rFonts w:ascii="Cambria" w:eastAsia="Cambria" w:hAnsi="Cambria" w:cs="Cambria"/>
          <w:b/>
          <w:bCs/>
          <w:spacing w:val="1"/>
          <w:sz w:val="28"/>
          <w:szCs w:val="28"/>
        </w:rPr>
        <w:t xml:space="preserve"> Points</w:t>
      </w:r>
      <w:r>
        <w:rPr>
          <w:rFonts w:ascii="Cambria" w:eastAsia="Cambria" w:hAnsi="Cambria" w:cs="Cambria"/>
          <w:b/>
          <w:bCs/>
          <w:spacing w:val="-9"/>
          <w:sz w:val="28"/>
          <w:szCs w:val="28"/>
        </w:rPr>
        <w:t xml:space="preserve"> </w:t>
      </w:r>
      <w:r>
        <w:rPr>
          <w:rFonts w:ascii="Cambria" w:eastAsia="Cambria" w:hAnsi="Cambria" w:cs="Cambria"/>
          <w:b/>
          <w:bCs/>
          <w:spacing w:val="1"/>
          <w:sz w:val="28"/>
          <w:szCs w:val="28"/>
        </w:rPr>
        <w:t>Structur</w:t>
      </w:r>
      <w:r>
        <w:rPr>
          <w:rFonts w:ascii="Cambria" w:eastAsia="Cambria" w:hAnsi="Cambria" w:cs="Cambria"/>
          <w:b/>
          <w:bCs/>
          <w:sz w:val="28"/>
          <w:szCs w:val="28"/>
        </w:rPr>
        <w:t>e</w:t>
      </w:r>
      <w:r>
        <w:rPr>
          <w:rFonts w:ascii="Cambria" w:eastAsia="Cambria" w:hAnsi="Cambria" w:cs="Cambria"/>
          <w:b/>
          <w:bCs/>
          <w:spacing w:val="48"/>
          <w:sz w:val="28"/>
          <w:szCs w:val="28"/>
        </w:rPr>
        <w:t xml:space="preserve"> </w:t>
      </w:r>
      <w:r>
        <w:rPr>
          <w:rFonts w:ascii="Cambria" w:eastAsia="Cambria" w:hAnsi="Cambria" w:cs="Cambria"/>
          <w:b/>
          <w:bCs/>
          <w:spacing w:val="1"/>
          <w:w w:val="99"/>
          <w:sz w:val="28"/>
          <w:szCs w:val="28"/>
        </w:rPr>
        <w:t>Summary</w:t>
      </w:r>
    </w:p>
    <w:p w14:paraId="6F48C6EB" w14:textId="77777777" w:rsidR="009348BE" w:rsidRDefault="009348BE" w:rsidP="009348BE">
      <w:pPr>
        <w:spacing w:line="271" w:lineRule="exact"/>
        <w:ind w:right="-432"/>
        <w:rPr>
          <w:rFonts w:ascii="Cambria" w:eastAsia="Cambria" w:hAnsi="Cambria" w:cs="Cambria"/>
        </w:rPr>
      </w:pPr>
      <w:r>
        <w:rPr>
          <w:rFonts w:ascii="Cambria" w:eastAsia="Cambria" w:hAnsi="Cambria" w:cs="Cambria"/>
          <w:b/>
          <w:bCs/>
          <w:position w:val="-1"/>
        </w:rPr>
        <w:t>2015-2016 Competitive Season</w:t>
      </w:r>
    </w:p>
    <w:p w14:paraId="1C0F278C" w14:textId="77777777" w:rsidR="005B5376" w:rsidRDefault="005B5376" w:rsidP="009348BE">
      <w:pPr>
        <w:ind w:right="-432"/>
      </w:pPr>
    </w:p>
    <w:p w14:paraId="0C6CE45A" w14:textId="1471DEF4" w:rsidR="005B5376" w:rsidRDefault="005B5376" w:rsidP="009348BE">
      <w:pPr>
        <w:ind w:right="-432"/>
        <w:jc w:val="both"/>
      </w:pPr>
      <w:r>
        <w:t>The C</w:t>
      </w:r>
      <w:r w:rsidR="009348BE">
        <w:t xml:space="preserve">anadian </w:t>
      </w:r>
      <w:r>
        <w:t>T</w:t>
      </w:r>
      <w:r w:rsidR="009348BE">
        <w:t xml:space="preserve">eam </w:t>
      </w:r>
      <w:r>
        <w:t>R</w:t>
      </w:r>
      <w:r w:rsidR="009348BE">
        <w:t xml:space="preserve">anking </w:t>
      </w:r>
      <w:r>
        <w:t>S</w:t>
      </w:r>
      <w:r w:rsidR="009348BE">
        <w:t>ystem (CTRS) and the Order of Merit (</w:t>
      </w:r>
      <w:r>
        <w:t>OOM</w:t>
      </w:r>
      <w:r w:rsidR="009348BE">
        <w:t>)</w:t>
      </w:r>
      <w:r>
        <w:t xml:space="preserve"> points model for the 2015-16 season will determine the points awarded for all events using a combination of size and strength of field, size of purse, and relative importance of large events (Grand Slams, Canada Cup, Scotties/Brier, Europeans, </w:t>
      </w:r>
      <w:r w:rsidR="00470E32">
        <w:t xml:space="preserve">Olympics, </w:t>
      </w:r>
      <w:r>
        <w:t>etc.).</w:t>
      </w:r>
    </w:p>
    <w:p w14:paraId="67386466" w14:textId="77777777" w:rsidR="000E28E1" w:rsidRDefault="000E28E1" w:rsidP="009348BE">
      <w:pPr>
        <w:ind w:right="-432"/>
      </w:pPr>
    </w:p>
    <w:p w14:paraId="79709BAE" w14:textId="4BCA5632" w:rsidR="000E28E1" w:rsidRDefault="00553541" w:rsidP="009348BE">
      <w:pPr>
        <w:ind w:right="-432"/>
        <w:jc w:val="both"/>
      </w:pPr>
      <w:r>
        <w:t xml:space="preserve">This </w:t>
      </w:r>
      <w:proofErr w:type="gramStart"/>
      <w:r>
        <w:t>points</w:t>
      </w:r>
      <w:proofErr w:type="gramEnd"/>
      <w:r>
        <w:t xml:space="preserve"> model operates on a</w:t>
      </w:r>
      <w:r w:rsidR="000E28E1">
        <w:t xml:space="preserve"> basis</w:t>
      </w:r>
      <w:r>
        <w:t xml:space="preserve"> similar to the current model</w:t>
      </w:r>
      <w:r w:rsidR="000E28E1">
        <w:t xml:space="preserve">. </w:t>
      </w:r>
      <w:r>
        <w:t xml:space="preserve">The OOM ranking will be updated weekly, and at the end of each season the year-to-date (YTD) cumulative number becomes a teams starting point for the following season. </w:t>
      </w:r>
      <w:r w:rsidR="000E28E1">
        <w:t>Teams are allowed to count their best 8 events each season</w:t>
      </w:r>
      <w:r w:rsidR="00B422B9">
        <w:t>.</w:t>
      </w:r>
    </w:p>
    <w:p w14:paraId="488116E7" w14:textId="77777777" w:rsidR="005B5376" w:rsidRDefault="005B5376" w:rsidP="009348BE">
      <w:pPr>
        <w:ind w:right="-432"/>
      </w:pPr>
    </w:p>
    <w:p w14:paraId="1B587D54" w14:textId="6F82ED56" w:rsidR="00C121DF" w:rsidRDefault="00C121DF" w:rsidP="009348BE">
      <w:pPr>
        <w:ind w:right="-432"/>
      </w:pPr>
      <w:r>
        <w:t>In this model, there are two</w:t>
      </w:r>
      <w:r w:rsidR="00122AD3">
        <w:t xml:space="preserve"> catego</w:t>
      </w:r>
      <w:r>
        <w:t>ries of events:</w:t>
      </w:r>
      <w:r w:rsidR="009348BE">
        <w:br/>
      </w:r>
    </w:p>
    <w:p w14:paraId="2CCCB817" w14:textId="3F13D7D3" w:rsidR="00C121DF" w:rsidRDefault="004E1D11" w:rsidP="009348BE">
      <w:pPr>
        <w:pStyle w:val="ListParagraph"/>
        <w:numPr>
          <w:ilvl w:val="0"/>
          <w:numId w:val="3"/>
        </w:numPr>
        <w:ind w:right="-432"/>
      </w:pPr>
      <w:r>
        <w:t>Tour Cashspiel</w:t>
      </w:r>
      <w:r w:rsidR="00C121DF">
        <w:t>s -</w:t>
      </w:r>
    </w:p>
    <w:p w14:paraId="44BF0327" w14:textId="1E06AAC1" w:rsidR="00C121DF" w:rsidRDefault="009348BE" w:rsidP="009348BE">
      <w:pPr>
        <w:pStyle w:val="ListParagraph"/>
        <w:numPr>
          <w:ilvl w:val="1"/>
          <w:numId w:val="3"/>
        </w:numPr>
        <w:ind w:right="-432"/>
        <w:jc w:val="both"/>
      </w:pPr>
      <w:r>
        <w:t xml:space="preserve">This </w:t>
      </w:r>
      <w:r w:rsidR="00C121DF">
        <w:t>category represents the bulk of the events played on tour, including all events that qualify as CTRS sanctioned events</w:t>
      </w:r>
      <w:r w:rsidR="00DF3A54">
        <w:t xml:space="preserve"> (see details below)</w:t>
      </w:r>
      <w:r w:rsidR="00C121DF">
        <w:t>. This category will also include the G</w:t>
      </w:r>
      <w:r>
        <w:t xml:space="preserve">rand </w:t>
      </w:r>
      <w:r w:rsidR="00C121DF">
        <w:t>S</w:t>
      </w:r>
      <w:r>
        <w:t xml:space="preserve">lam </w:t>
      </w:r>
      <w:r w:rsidR="00C121DF">
        <w:t>O</w:t>
      </w:r>
      <w:r>
        <w:t xml:space="preserve">f </w:t>
      </w:r>
      <w:r w:rsidR="00C121DF">
        <w:t>C</w:t>
      </w:r>
      <w:r>
        <w:t>urling</w:t>
      </w:r>
      <w:r w:rsidR="00C121DF">
        <w:t xml:space="preserve"> events outside </w:t>
      </w:r>
      <w:r w:rsidR="00DF3A54">
        <w:t xml:space="preserve">of </w:t>
      </w:r>
      <w:r w:rsidR="00C121DF">
        <w:t>the 4 Grand Slams that meet the format requirements for CTRS inclusion.</w:t>
      </w:r>
    </w:p>
    <w:p w14:paraId="6EE8BCDE" w14:textId="00D17AB2" w:rsidR="00C121DF" w:rsidRDefault="00C121DF" w:rsidP="009348BE">
      <w:pPr>
        <w:pStyle w:val="ListParagraph"/>
        <w:numPr>
          <w:ilvl w:val="0"/>
          <w:numId w:val="3"/>
        </w:numPr>
        <w:ind w:right="-432"/>
      </w:pPr>
      <w:proofErr w:type="spellStart"/>
      <w:r>
        <w:t>Playdown</w:t>
      </w:r>
      <w:r w:rsidR="009348BE">
        <w:t>s</w:t>
      </w:r>
      <w:proofErr w:type="spellEnd"/>
      <w:r>
        <w:t>/</w:t>
      </w:r>
      <w:r w:rsidR="00122AD3">
        <w:t>Special events</w:t>
      </w:r>
      <w:r>
        <w:t xml:space="preserve"> - </w:t>
      </w:r>
    </w:p>
    <w:p w14:paraId="71A27859" w14:textId="201438CF" w:rsidR="005B5376" w:rsidRPr="005E3EE9" w:rsidRDefault="00122AD3" w:rsidP="009348BE">
      <w:pPr>
        <w:pStyle w:val="ListParagraph"/>
        <w:numPr>
          <w:ilvl w:val="1"/>
          <w:numId w:val="3"/>
        </w:numPr>
        <w:ind w:right="-432"/>
        <w:jc w:val="both"/>
        <w:rPr>
          <w:strike/>
        </w:rPr>
      </w:pPr>
      <w:r>
        <w:t xml:space="preserve">The </w:t>
      </w:r>
      <w:proofErr w:type="spellStart"/>
      <w:r w:rsidR="00C121DF">
        <w:t>Playdown</w:t>
      </w:r>
      <w:r w:rsidR="009348BE">
        <w:t>s</w:t>
      </w:r>
      <w:proofErr w:type="spellEnd"/>
      <w:r w:rsidR="00C121DF">
        <w:t>/Special events category represents</w:t>
      </w:r>
      <w:r>
        <w:t xml:space="preserve"> </w:t>
      </w:r>
      <w:r w:rsidR="00C121DF">
        <w:t>the following events: Provincials</w:t>
      </w:r>
      <w:r w:rsidR="009348BE">
        <w:t>/Territorial</w:t>
      </w:r>
      <w:r w:rsidR="00C121DF">
        <w:t xml:space="preserve">, Nationals, Worlds, Europeans, </w:t>
      </w:r>
      <w:r w:rsidR="00DF3A54">
        <w:t>Canada Cup,</w:t>
      </w:r>
      <w:r w:rsidR="00315414">
        <w:t xml:space="preserve"> Olympic Trials,</w:t>
      </w:r>
      <w:r w:rsidR="00DF3A54">
        <w:t xml:space="preserve"> </w:t>
      </w:r>
      <w:r w:rsidR="00C121DF">
        <w:t>Olympics</w:t>
      </w:r>
      <w:r w:rsidR="00DF3A54">
        <w:t>, the 4 Grand Slams</w:t>
      </w:r>
      <w:r w:rsidR="00AD7E6E">
        <w:t xml:space="preserve">, </w:t>
      </w:r>
      <w:r w:rsidR="00AD7E6E" w:rsidRPr="005E3EE9">
        <w:t>and events similar to those described as per the eligibility requirements (see below)</w:t>
      </w:r>
      <w:r w:rsidR="00DF3A54" w:rsidRPr="005E3EE9">
        <w:t xml:space="preserve">. </w:t>
      </w:r>
      <w:r w:rsidR="00AD7E6E" w:rsidRPr="005E3EE9">
        <w:t xml:space="preserve">Pre-qualifier tournaments (regionals, zones, districts, etc.) are eligible under this category. </w:t>
      </w:r>
    </w:p>
    <w:p w14:paraId="00EFD729" w14:textId="77777777" w:rsidR="00470E32" w:rsidRDefault="00470E32" w:rsidP="009348BE">
      <w:pPr>
        <w:ind w:right="-432"/>
      </w:pPr>
    </w:p>
    <w:p w14:paraId="0C1DF7DF" w14:textId="77777777" w:rsidR="00470E32" w:rsidRDefault="00C121DF" w:rsidP="009348BE">
      <w:pPr>
        <w:ind w:right="-432"/>
        <w:rPr>
          <w:b/>
        </w:rPr>
      </w:pPr>
      <w:r w:rsidRPr="00E94B34">
        <w:rPr>
          <w:b/>
        </w:rPr>
        <w:t>G</w:t>
      </w:r>
      <w:r w:rsidR="00470E32" w:rsidRPr="00E94B34">
        <w:rPr>
          <w:b/>
        </w:rPr>
        <w:t>eneral rules that apply to all events:</w:t>
      </w:r>
    </w:p>
    <w:p w14:paraId="04B7715D" w14:textId="77777777" w:rsidR="00E94B34" w:rsidRPr="00E94B34" w:rsidRDefault="00E94B34" w:rsidP="009348BE">
      <w:pPr>
        <w:ind w:right="-432"/>
        <w:rPr>
          <w:b/>
        </w:rPr>
      </w:pPr>
    </w:p>
    <w:p w14:paraId="74BACD6C" w14:textId="36B48FE1" w:rsidR="00470E32" w:rsidRDefault="00470E32" w:rsidP="009348BE">
      <w:pPr>
        <w:pStyle w:val="ListParagraph"/>
        <w:numPr>
          <w:ilvl w:val="0"/>
          <w:numId w:val="1"/>
        </w:numPr>
        <w:ind w:right="-432"/>
        <w:jc w:val="both"/>
      </w:pPr>
      <w:r>
        <w:t>Similar to the o</w:t>
      </w:r>
      <w:r w:rsidR="009348BE">
        <w:t>ld system, this model utilizes the</w:t>
      </w:r>
      <w:r>
        <w:t xml:space="preserve"> S</w:t>
      </w:r>
      <w:r w:rsidR="009348BE">
        <w:t xml:space="preserve">trength of </w:t>
      </w:r>
      <w:r>
        <w:t>F</w:t>
      </w:r>
      <w:r w:rsidR="009348BE">
        <w:t xml:space="preserve">ield </w:t>
      </w:r>
      <w:r>
        <w:t>M</w:t>
      </w:r>
      <w:r w:rsidR="009348BE">
        <w:t>ultiplier</w:t>
      </w:r>
      <w:r w:rsidR="008043C8">
        <w:t xml:space="preserve"> (</w:t>
      </w:r>
      <w:r w:rsidR="009348BE">
        <w:t>SFM</w:t>
      </w:r>
      <w:r w:rsidR="008043C8">
        <w:t>)</w:t>
      </w:r>
      <w:r>
        <w:t xml:space="preserve"> multiplied by a base-point value to determine the number of points </w:t>
      </w:r>
      <w:r w:rsidR="008043C8">
        <w:t xml:space="preserve">available. In this model there is no Top 10 influence on the base-point </w:t>
      </w:r>
      <w:r w:rsidR="00743041">
        <w:t>values</w:t>
      </w:r>
      <w:r w:rsidR="008043C8">
        <w:t xml:space="preserve">, so in all </w:t>
      </w:r>
      <w:proofErr w:type="gramStart"/>
      <w:r w:rsidR="008043C8">
        <w:t>events</w:t>
      </w:r>
      <w:proofErr w:type="gramEnd"/>
      <w:r w:rsidR="008043C8">
        <w:t xml:space="preserve"> the structure is:</w:t>
      </w:r>
    </w:p>
    <w:p w14:paraId="3D67A268" w14:textId="77777777" w:rsidR="008043C8" w:rsidRDefault="008043C8" w:rsidP="009348BE">
      <w:pPr>
        <w:pStyle w:val="ListParagraph"/>
        <w:ind w:right="-432"/>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56"/>
        <w:gridCol w:w="2268"/>
      </w:tblGrid>
      <w:tr w:rsidR="008043C8" w14:paraId="75056C4C" w14:textId="77777777" w:rsidTr="009348BE">
        <w:trPr>
          <w:jc w:val="center"/>
        </w:trPr>
        <w:tc>
          <w:tcPr>
            <w:tcW w:w="1656" w:type="dxa"/>
          </w:tcPr>
          <w:p w14:paraId="4BCE3CE2" w14:textId="77777777" w:rsidR="008043C8" w:rsidRPr="009348BE" w:rsidRDefault="008043C8" w:rsidP="009348BE">
            <w:pPr>
              <w:pStyle w:val="ListParagraph"/>
              <w:ind w:left="0" w:right="-432"/>
              <w:jc w:val="center"/>
              <w:rPr>
                <w:b/>
              </w:rPr>
            </w:pPr>
            <w:r w:rsidRPr="009348BE">
              <w:rPr>
                <w:b/>
              </w:rPr>
              <w:t>Placing</w:t>
            </w:r>
          </w:p>
        </w:tc>
        <w:tc>
          <w:tcPr>
            <w:tcW w:w="2268" w:type="dxa"/>
          </w:tcPr>
          <w:p w14:paraId="4202806B" w14:textId="77777777" w:rsidR="008043C8" w:rsidRPr="009348BE" w:rsidRDefault="008043C8" w:rsidP="009348BE">
            <w:pPr>
              <w:pStyle w:val="ListParagraph"/>
              <w:ind w:left="0" w:right="-432"/>
              <w:jc w:val="center"/>
              <w:rPr>
                <w:b/>
              </w:rPr>
            </w:pPr>
            <w:r w:rsidRPr="009348BE">
              <w:rPr>
                <w:b/>
              </w:rPr>
              <w:t>Base Point Value</w:t>
            </w:r>
          </w:p>
        </w:tc>
      </w:tr>
      <w:tr w:rsidR="008043C8" w14:paraId="5E9632EC" w14:textId="77777777" w:rsidTr="009348BE">
        <w:trPr>
          <w:jc w:val="center"/>
        </w:trPr>
        <w:tc>
          <w:tcPr>
            <w:tcW w:w="1656" w:type="dxa"/>
          </w:tcPr>
          <w:p w14:paraId="6C18A13C" w14:textId="77777777" w:rsidR="008043C8" w:rsidRDefault="008043C8" w:rsidP="009348BE">
            <w:pPr>
              <w:pStyle w:val="ListParagraph"/>
              <w:ind w:left="0" w:right="-432"/>
              <w:jc w:val="center"/>
            </w:pPr>
            <w:r>
              <w:t>1</w:t>
            </w:r>
            <w:r w:rsidRPr="008043C8">
              <w:rPr>
                <w:vertAlign w:val="superscript"/>
              </w:rPr>
              <w:t>st</w:t>
            </w:r>
          </w:p>
        </w:tc>
        <w:tc>
          <w:tcPr>
            <w:tcW w:w="2268" w:type="dxa"/>
          </w:tcPr>
          <w:p w14:paraId="07EE5DEE" w14:textId="48006987" w:rsidR="008043C8" w:rsidRDefault="008043C8" w:rsidP="009348BE">
            <w:pPr>
              <w:pStyle w:val="ListParagraph"/>
              <w:ind w:left="0" w:right="-432"/>
              <w:jc w:val="center"/>
            </w:pPr>
            <w:r>
              <w:t>7</w:t>
            </w:r>
            <w:r w:rsidR="009348BE">
              <w:t>.00</w:t>
            </w:r>
          </w:p>
        </w:tc>
      </w:tr>
      <w:tr w:rsidR="008043C8" w14:paraId="65099EBA" w14:textId="77777777" w:rsidTr="009348BE">
        <w:trPr>
          <w:jc w:val="center"/>
        </w:trPr>
        <w:tc>
          <w:tcPr>
            <w:tcW w:w="1656" w:type="dxa"/>
          </w:tcPr>
          <w:p w14:paraId="432C822B" w14:textId="77777777" w:rsidR="008043C8" w:rsidRDefault="008043C8" w:rsidP="009348BE">
            <w:pPr>
              <w:pStyle w:val="ListParagraph"/>
              <w:ind w:left="0" w:right="-432"/>
              <w:jc w:val="center"/>
            </w:pPr>
            <w:r>
              <w:t>2</w:t>
            </w:r>
            <w:r w:rsidRPr="008043C8">
              <w:rPr>
                <w:vertAlign w:val="superscript"/>
              </w:rPr>
              <w:t>nd</w:t>
            </w:r>
          </w:p>
        </w:tc>
        <w:tc>
          <w:tcPr>
            <w:tcW w:w="2268" w:type="dxa"/>
          </w:tcPr>
          <w:p w14:paraId="1D8A7DD2" w14:textId="52DD4220" w:rsidR="008043C8" w:rsidRDefault="008043C8" w:rsidP="009348BE">
            <w:pPr>
              <w:pStyle w:val="ListParagraph"/>
              <w:ind w:left="0" w:right="-432"/>
              <w:jc w:val="center"/>
            </w:pPr>
            <w:r>
              <w:t>5</w:t>
            </w:r>
            <w:r w:rsidR="00846FF9">
              <w:t>.5</w:t>
            </w:r>
            <w:r w:rsidR="009348BE">
              <w:t>0</w:t>
            </w:r>
          </w:p>
        </w:tc>
      </w:tr>
      <w:tr w:rsidR="008043C8" w14:paraId="4FC7EE65" w14:textId="77777777" w:rsidTr="009348BE">
        <w:trPr>
          <w:jc w:val="center"/>
        </w:trPr>
        <w:tc>
          <w:tcPr>
            <w:tcW w:w="1656" w:type="dxa"/>
          </w:tcPr>
          <w:p w14:paraId="3D1B43AD" w14:textId="77777777" w:rsidR="008043C8" w:rsidRDefault="008043C8" w:rsidP="009348BE">
            <w:pPr>
              <w:pStyle w:val="ListParagraph"/>
              <w:ind w:left="0" w:right="-432"/>
              <w:jc w:val="center"/>
            </w:pPr>
            <w:r>
              <w:t>3</w:t>
            </w:r>
            <w:r w:rsidRPr="008043C8">
              <w:rPr>
                <w:vertAlign w:val="superscript"/>
              </w:rPr>
              <w:t>rd</w:t>
            </w:r>
            <w:r>
              <w:t>-4</w:t>
            </w:r>
            <w:r w:rsidRPr="008043C8">
              <w:rPr>
                <w:vertAlign w:val="superscript"/>
              </w:rPr>
              <w:t>th</w:t>
            </w:r>
          </w:p>
        </w:tc>
        <w:tc>
          <w:tcPr>
            <w:tcW w:w="2268" w:type="dxa"/>
          </w:tcPr>
          <w:p w14:paraId="5A001239" w14:textId="613686A5" w:rsidR="008043C8" w:rsidRDefault="008043C8" w:rsidP="009348BE">
            <w:pPr>
              <w:pStyle w:val="ListParagraph"/>
              <w:ind w:left="0" w:right="-432"/>
              <w:jc w:val="center"/>
            </w:pPr>
            <w:r>
              <w:t>4</w:t>
            </w:r>
            <w:r w:rsidR="00846FF9">
              <w:t>.25</w:t>
            </w:r>
          </w:p>
        </w:tc>
      </w:tr>
      <w:tr w:rsidR="008043C8" w14:paraId="3E3DA3EE" w14:textId="77777777" w:rsidTr="009348BE">
        <w:trPr>
          <w:jc w:val="center"/>
        </w:trPr>
        <w:tc>
          <w:tcPr>
            <w:tcW w:w="1656" w:type="dxa"/>
          </w:tcPr>
          <w:p w14:paraId="441182CA" w14:textId="77777777" w:rsidR="008043C8" w:rsidRDefault="008043C8" w:rsidP="009348BE">
            <w:pPr>
              <w:pStyle w:val="ListParagraph"/>
              <w:ind w:left="0" w:right="-432"/>
              <w:jc w:val="center"/>
            </w:pPr>
            <w:r>
              <w:t>5</w:t>
            </w:r>
            <w:r w:rsidRPr="008043C8">
              <w:rPr>
                <w:vertAlign w:val="superscript"/>
              </w:rPr>
              <w:t>th</w:t>
            </w:r>
            <w:r>
              <w:t>-8</w:t>
            </w:r>
            <w:r w:rsidRPr="008043C8">
              <w:rPr>
                <w:vertAlign w:val="superscript"/>
              </w:rPr>
              <w:t>th</w:t>
            </w:r>
          </w:p>
        </w:tc>
        <w:tc>
          <w:tcPr>
            <w:tcW w:w="2268" w:type="dxa"/>
          </w:tcPr>
          <w:p w14:paraId="6ED36103" w14:textId="0D3E968D" w:rsidR="008043C8" w:rsidRDefault="008043C8" w:rsidP="009348BE">
            <w:pPr>
              <w:pStyle w:val="ListParagraph"/>
              <w:ind w:left="0" w:right="-432"/>
              <w:jc w:val="center"/>
            </w:pPr>
            <w:r>
              <w:t>3</w:t>
            </w:r>
            <w:r w:rsidR="009348BE">
              <w:t>.00</w:t>
            </w:r>
          </w:p>
        </w:tc>
      </w:tr>
    </w:tbl>
    <w:p w14:paraId="2B03D68B" w14:textId="77777777" w:rsidR="008043C8" w:rsidRDefault="008043C8" w:rsidP="009348BE">
      <w:pPr>
        <w:ind w:right="-432"/>
      </w:pPr>
    </w:p>
    <w:p w14:paraId="4D4A6764" w14:textId="0FC9F763" w:rsidR="00470E32" w:rsidRDefault="008043C8" w:rsidP="009348BE">
      <w:pPr>
        <w:pStyle w:val="ListParagraph"/>
        <w:numPr>
          <w:ilvl w:val="0"/>
          <w:numId w:val="1"/>
        </w:numPr>
        <w:ind w:right="-432"/>
        <w:jc w:val="both"/>
      </w:pPr>
      <w:r>
        <w:t xml:space="preserve">All events will utilize a SFM value (including all </w:t>
      </w:r>
      <w:proofErr w:type="spellStart"/>
      <w:r>
        <w:t>Playdown</w:t>
      </w:r>
      <w:r w:rsidR="009348BE">
        <w:t>s</w:t>
      </w:r>
      <w:proofErr w:type="spellEnd"/>
      <w:r w:rsidR="00DF3A54">
        <w:t>/Special</w:t>
      </w:r>
      <w:r>
        <w:t xml:space="preserve"> events). This SFM value reflects the quality of the teams participating in the event. </w:t>
      </w:r>
      <w:r w:rsidR="00743041">
        <w:t xml:space="preserve">The SFM </w:t>
      </w:r>
      <w:r w:rsidR="00743041">
        <w:lastRenderedPageBreak/>
        <w:t>value wil</w:t>
      </w:r>
      <w:r w:rsidR="009348BE">
        <w:t xml:space="preserve">l be calculated using the </w:t>
      </w:r>
      <w:r w:rsidR="00743041">
        <w:t>O</w:t>
      </w:r>
      <w:r w:rsidR="009348BE">
        <w:t>OM</w:t>
      </w:r>
      <w:r w:rsidR="00743041">
        <w:t xml:space="preserve"> ranking on the Tuesday prior to the event, and will reflect a cumulative total using the following system:</w:t>
      </w:r>
    </w:p>
    <w:p w14:paraId="3A6D3973" w14:textId="77777777" w:rsidR="00743041" w:rsidRDefault="00743041" w:rsidP="009348BE">
      <w:pPr>
        <w:pStyle w:val="ListParagraph"/>
        <w:ind w:right="-432"/>
      </w:pPr>
    </w:p>
    <w:tbl>
      <w:tblPr>
        <w:tblStyle w:val="TableGrid"/>
        <w:tblW w:w="0" w:type="auto"/>
        <w:jc w:val="center"/>
        <w:tblInd w:w="720" w:type="dxa"/>
        <w:tblLook w:val="04A0" w:firstRow="1" w:lastRow="0" w:firstColumn="1" w:lastColumn="0" w:noHBand="0" w:noVBand="1"/>
      </w:tblPr>
      <w:tblGrid>
        <w:gridCol w:w="2223"/>
        <w:gridCol w:w="2552"/>
      </w:tblGrid>
      <w:tr w:rsidR="00743041" w14:paraId="3BF5D48E" w14:textId="77777777" w:rsidTr="00743041">
        <w:trPr>
          <w:jc w:val="center"/>
        </w:trPr>
        <w:tc>
          <w:tcPr>
            <w:tcW w:w="2223" w:type="dxa"/>
            <w:tcBorders>
              <w:bottom w:val="single" w:sz="4" w:space="0" w:color="auto"/>
            </w:tcBorders>
          </w:tcPr>
          <w:p w14:paraId="0B41CD9E" w14:textId="522450A7" w:rsidR="00743041" w:rsidRPr="009348BE" w:rsidRDefault="00743041" w:rsidP="009348BE">
            <w:pPr>
              <w:pStyle w:val="ListParagraph"/>
              <w:ind w:left="0" w:right="-432"/>
              <w:jc w:val="center"/>
              <w:rPr>
                <w:b/>
              </w:rPr>
            </w:pPr>
            <w:r w:rsidRPr="009348BE">
              <w:rPr>
                <w:b/>
              </w:rPr>
              <w:t>Ranking</w:t>
            </w:r>
          </w:p>
        </w:tc>
        <w:tc>
          <w:tcPr>
            <w:tcW w:w="2552" w:type="dxa"/>
            <w:tcBorders>
              <w:bottom w:val="single" w:sz="4" w:space="0" w:color="auto"/>
            </w:tcBorders>
          </w:tcPr>
          <w:p w14:paraId="7679DBE5" w14:textId="77777777" w:rsidR="00743041" w:rsidRPr="009348BE" w:rsidRDefault="00743041" w:rsidP="009348BE">
            <w:pPr>
              <w:pStyle w:val="ListParagraph"/>
              <w:ind w:left="0" w:right="-432"/>
              <w:jc w:val="center"/>
              <w:rPr>
                <w:b/>
              </w:rPr>
            </w:pPr>
            <w:r w:rsidRPr="009348BE">
              <w:rPr>
                <w:b/>
              </w:rPr>
              <w:t>SFM Contribution</w:t>
            </w:r>
          </w:p>
        </w:tc>
      </w:tr>
      <w:tr w:rsidR="00743041" w14:paraId="2DB56F6E" w14:textId="77777777" w:rsidTr="00743041">
        <w:trPr>
          <w:jc w:val="center"/>
        </w:trPr>
        <w:tc>
          <w:tcPr>
            <w:tcW w:w="2223" w:type="dxa"/>
            <w:tcBorders>
              <w:top w:val="single" w:sz="4" w:space="0" w:color="auto"/>
              <w:left w:val="single" w:sz="4" w:space="0" w:color="auto"/>
              <w:bottom w:val="nil"/>
              <w:right w:val="single" w:sz="4" w:space="0" w:color="auto"/>
            </w:tcBorders>
          </w:tcPr>
          <w:p w14:paraId="60E828DF" w14:textId="77777777" w:rsidR="00743041" w:rsidRDefault="00743041" w:rsidP="009348BE">
            <w:pPr>
              <w:pStyle w:val="ListParagraph"/>
              <w:ind w:left="0" w:right="-432"/>
              <w:jc w:val="center"/>
            </w:pPr>
            <w:r>
              <w:t>1</w:t>
            </w:r>
          </w:p>
        </w:tc>
        <w:tc>
          <w:tcPr>
            <w:tcW w:w="2552" w:type="dxa"/>
            <w:tcBorders>
              <w:top w:val="single" w:sz="4" w:space="0" w:color="auto"/>
              <w:left w:val="single" w:sz="4" w:space="0" w:color="auto"/>
              <w:bottom w:val="nil"/>
              <w:right w:val="single" w:sz="4" w:space="0" w:color="auto"/>
            </w:tcBorders>
          </w:tcPr>
          <w:p w14:paraId="4574D252" w14:textId="77777777" w:rsidR="00743041" w:rsidRDefault="00743041" w:rsidP="009348BE">
            <w:pPr>
              <w:pStyle w:val="ListParagraph"/>
              <w:ind w:left="0" w:right="-432"/>
              <w:jc w:val="center"/>
            </w:pPr>
            <w:r>
              <w:t>0.45</w:t>
            </w:r>
          </w:p>
        </w:tc>
      </w:tr>
      <w:tr w:rsidR="00743041" w14:paraId="2F38AC9D" w14:textId="77777777" w:rsidTr="00743041">
        <w:trPr>
          <w:jc w:val="center"/>
        </w:trPr>
        <w:tc>
          <w:tcPr>
            <w:tcW w:w="2223" w:type="dxa"/>
            <w:tcBorders>
              <w:top w:val="nil"/>
              <w:left w:val="single" w:sz="4" w:space="0" w:color="auto"/>
              <w:bottom w:val="nil"/>
              <w:right w:val="single" w:sz="4" w:space="0" w:color="auto"/>
            </w:tcBorders>
          </w:tcPr>
          <w:p w14:paraId="2480880F" w14:textId="77777777" w:rsidR="00743041" w:rsidRDefault="00743041" w:rsidP="009348BE">
            <w:pPr>
              <w:pStyle w:val="ListParagraph"/>
              <w:ind w:left="0" w:right="-432"/>
              <w:jc w:val="center"/>
            </w:pPr>
            <w:r>
              <w:t>2</w:t>
            </w:r>
          </w:p>
        </w:tc>
        <w:tc>
          <w:tcPr>
            <w:tcW w:w="2552" w:type="dxa"/>
            <w:tcBorders>
              <w:top w:val="nil"/>
              <w:left w:val="single" w:sz="4" w:space="0" w:color="auto"/>
              <w:bottom w:val="nil"/>
              <w:right w:val="single" w:sz="4" w:space="0" w:color="auto"/>
            </w:tcBorders>
          </w:tcPr>
          <w:p w14:paraId="71F06AA8" w14:textId="77777777" w:rsidR="00743041" w:rsidRDefault="00743041" w:rsidP="009348BE">
            <w:pPr>
              <w:pStyle w:val="ListParagraph"/>
              <w:ind w:left="0" w:right="-432"/>
              <w:jc w:val="center"/>
            </w:pPr>
            <w:r>
              <w:t>0.44</w:t>
            </w:r>
          </w:p>
        </w:tc>
      </w:tr>
      <w:tr w:rsidR="00743041" w14:paraId="563490AD" w14:textId="77777777" w:rsidTr="00743041">
        <w:trPr>
          <w:jc w:val="center"/>
        </w:trPr>
        <w:tc>
          <w:tcPr>
            <w:tcW w:w="2223" w:type="dxa"/>
            <w:tcBorders>
              <w:top w:val="nil"/>
              <w:left w:val="single" w:sz="4" w:space="0" w:color="auto"/>
              <w:bottom w:val="nil"/>
              <w:right w:val="single" w:sz="4" w:space="0" w:color="auto"/>
            </w:tcBorders>
          </w:tcPr>
          <w:p w14:paraId="2C42C6FF" w14:textId="77777777" w:rsidR="00743041" w:rsidRDefault="00743041" w:rsidP="009348BE">
            <w:pPr>
              <w:pStyle w:val="ListParagraph"/>
              <w:ind w:left="0" w:right="-432"/>
              <w:jc w:val="center"/>
            </w:pPr>
            <w:r>
              <w:t>3</w:t>
            </w:r>
          </w:p>
        </w:tc>
        <w:tc>
          <w:tcPr>
            <w:tcW w:w="2552" w:type="dxa"/>
            <w:tcBorders>
              <w:top w:val="nil"/>
              <w:left w:val="single" w:sz="4" w:space="0" w:color="auto"/>
              <w:bottom w:val="nil"/>
              <w:right w:val="single" w:sz="4" w:space="0" w:color="auto"/>
            </w:tcBorders>
          </w:tcPr>
          <w:p w14:paraId="18D8F4D0" w14:textId="77777777" w:rsidR="00743041" w:rsidRDefault="00743041" w:rsidP="009348BE">
            <w:pPr>
              <w:pStyle w:val="ListParagraph"/>
              <w:ind w:left="0" w:right="-432"/>
              <w:jc w:val="center"/>
            </w:pPr>
            <w:r>
              <w:t>0.43</w:t>
            </w:r>
          </w:p>
        </w:tc>
      </w:tr>
      <w:tr w:rsidR="00743041" w14:paraId="5D129FB3" w14:textId="77777777" w:rsidTr="00743041">
        <w:trPr>
          <w:jc w:val="center"/>
        </w:trPr>
        <w:tc>
          <w:tcPr>
            <w:tcW w:w="2223" w:type="dxa"/>
            <w:tcBorders>
              <w:top w:val="nil"/>
              <w:left w:val="single" w:sz="4" w:space="0" w:color="auto"/>
              <w:bottom w:val="nil"/>
              <w:right w:val="single" w:sz="4" w:space="0" w:color="auto"/>
            </w:tcBorders>
          </w:tcPr>
          <w:p w14:paraId="399F10C5" w14:textId="77777777" w:rsidR="00743041" w:rsidRDefault="00743041" w:rsidP="009348BE">
            <w:pPr>
              <w:pStyle w:val="ListParagraph"/>
              <w:ind w:left="0" w:right="-432"/>
              <w:jc w:val="center"/>
            </w:pPr>
            <w:r>
              <w:t>4</w:t>
            </w:r>
          </w:p>
        </w:tc>
        <w:tc>
          <w:tcPr>
            <w:tcW w:w="2552" w:type="dxa"/>
            <w:tcBorders>
              <w:top w:val="nil"/>
              <w:left w:val="single" w:sz="4" w:space="0" w:color="auto"/>
              <w:bottom w:val="nil"/>
              <w:right w:val="single" w:sz="4" w:space="0" w:color="auto"/>
            </w:tcBorders>
          </w:tcPr>
          <w:p w14:paraId="265319D4" w14:textId="77777777" w:rsidR="00743041" w:rsidRDefault="00743041" w:rsidP="009348BE">
            <w:pPr>
              <w:pStyle w:val="ListParagraph"/>
              <w:ind w:left="0" w:right="-432"/>
              <w:jc w:val="center"/>
            </w:pPr>
            <w:r>
              <w:t>0.42</w:t>
            </w:r>
          </w:p>
        </w:tc>
      </w:tr>
      <w:tr w:rsidR="00743041" w14:paraId="4E5E9055" w14:textId="77777777" w:rsidTr="00743041">
        <w:trPr>
          <w:jc w:val="center"/>
        </w:trPr>
        <w:tc>
          <w:tcPr>
            <w:tcW w:w="2223" w:type="dxa"/>
            <w:tcBorders>
              <w:top w:val="nil"/>
              <w:left w:val="single" w:sz="4" w:space="0" w:color="auto"/>
              <w:bottom w:val="nil"/>
              <w:right w:val="single" w:sz="4" w:space="0" w:color="auto"/>
            </w:tcBorders>
          </w:tcPr>
          <w:p w14:paraId="2E856D05" w14:textId="77777777" w:rsidR="00743041" w:rsidRDefault="00743041" w:rsidP="009348BE">
            <w:pPr>
              <w:pStyle w:val="ListParagraph"/>
              <w:ind w:left="0" w:right="-432"/>
              <w:jc w:val="center"/>
            </w:pPr>
            <w:r>
              <w:t>5</w:t>
            </w:r>
          </w:p>
        </w:tc>
        <w:tc>
          <w:tcPr>
            <w:tcW w:w="2552" w:type="dxa"/>
            <w:tcBorders>
              <w:top w:val="nil"/>
              <w:left w:val="single" w:sz="4" w:space="0" w:color="auto"/>
              <w:bottom w:val="nil"/>
              <w:right w:val="single" w:sz="4" w:space="0" w:color="auto"/>
            </w:tcBorders>
          </w:tcPr>
          <w:p w14:paraId="4FB42E3C" w14:textId="77777777" w:rsidR="00743041" w:rsidRDefault="00743041" w:rsidP="009348BE">
            <w:pPr>
              <w:pStyle w:val="ListParagraph"/>
              <w:ind w:left="0" w:right="-432"/>
              <w:jc w:val="center"/>
            </w:pPr>
            <w:r>
              <w:t>0.41</w:t>
            </w:r>
          </w:p>
        </w:tc>
      </w:tr>
      <w:tr w:rsidR="00743041" w14:paraId="14C19F16" w14:textId="77777777" w:rsidTr="00743041">
        <w:trPr>
          <w:jc w:val="center"/>
        </w:trPr>
        <w:tc>
          <w:tcPr>
            <w:tcW w:w="2223" w:type="dxa"/>
            <w:tcBorders>
              <w:top w:val="nil"/>
              <w:left w:val="single" w:sz="4" w:space="0" w:color="auto"/>
              <w:bottom w:val="nil"/>
              <w:right w:val="single" w:sz="4" w:space="0" w:color="auto"/>
            </w:tcBorders>
          </w:tcPr>
          <w:p w14:paraId="1CD3F33C" w14:textId="77777777" w:rsidR="00743041" w:rsidRDefault="00743041" w:rsidP="009348BE">
            <w:pPr>
              <w:pStyle w:val="ListParagraph"/>
              <w:ind w:left="0" w:right="-432"/>
              <w:jc w:val="center"/>
            </w:pPr>
            <w:r>
              <w:t>6</w:t>
            </w:r>
          </w:p>
        </w:tc>
        <w:tc>
          <w:tcPr>
            <w:tcW w:w="2552" w:type="dxa"/>
            <w:tcBorders>
              <w:top w:val="nil"/>
              <w:left w:val="single" w:sz="4" w:space="0" w:color="auto"/>
              <w:bottom w:val="nil"/>
              <w:right w:val="single" w:sz="4" w:space="0" w:color="auto"/>
            </w:tcBorders>
          </w:tcPr>
          <w:p w14:paraId="0A26FCEC" w14:textId="77777777" w:rsidR="00743041" w:rsidRDefault="00743041" w:rsidP="009348BE">
            <w:pPr>
              <w:pStyle w:val="ListParagraph"/>
              <w:ind w:left="0" w:right="-432"/>
              <w:jc w:val="center"/>
            </w:pPr>
            <w:r>
              <w:t>0.40</w:t>
            </w:r>
          </w:p>
        </w:tc>
      </w:tr>
      <w:tr w:rsidR="00743041" w14:paraId="6EBD52B9" w14:textId="77777777" w:rsidTr="00743041">
        <w:trPr>
          <w:jc w:val="center"/>
        </w:trPr>
        <w:tc>
          <w:tcPr>
            <w:tcW w:w="2223" w:type="dxa"/>
            <w:tcBorders>
              <w:top w:val="nil"/>
              <w:left w:val="single" w:sz="4" w:space="0" w:color="auto"/>
              <w:bottom w:val="nil"/>
              <w:right w:val="single" w:sz="4" w:space="0" w:color="auto"/>
            </w:tcBorders>
          </w:tcPr>
          <w:p w14:paraId="6300CF0E" w14:textId="77777777" w:rsidR="00743041" w:rsidRDefault="00743041" w:rsidP="009348BE">
            <w:pPr>
              <w:pStyle w:val="ListParagraph"/>
              <w:ind w:left="0" w:right="-432"/>
              <w:jc w:val="center"/>
            </w:pPr>
            <w:r>
              <w:t>7</w:t>
            </w:r>
          </w:p>
        </w:tc>
        <w:tc>
          <w:tcPr>
            <w:tcW w:w="2552" w:type="dxa"/>
            <w:tcBorders>
              <w:top w:val="nil"/>
              <w:left w:val="single" w:sz="4" w:space="0" w:color="auto"/>
              <w:bottom w:val="nil"/>
              <w:right w:val="single" w:sz="4" w:space="0" w:color="auto"/>
            </w:tcBorders>
          </w:tcPr>
          <w:p w14:paraId="3114318A" w14:textId="77777777" w:rsidR="00743041" w:rsidRDefault="00743041" w:rsidP="009348BE">
            <w:pPr>
              <w:pStyle w:val="ListParagraph"/>
              <w:ind w:left="0" w:right="-432"/>
              <w:jc w:val="center"/>
            </w:pPr>
            <w:r>
              <w:t>0.39</w:t>
            </w:r>
          </w:p>
        </w:tc>
      </w:tr>
      <w:tr w:rsidR="00743041" w14:paraId="3C8C0675" w14:textId="77777777" w:rsidTr="00743041">
        <w:trPr>
          <w:jc w:val="center"/>
        </w:trPr>
        <w:tc>
          <w:tcPr>
            <w:tcW w:w="2223" w:type="dxa"/>
            <w:tcBorders>
              <w:top w:val="nil"/>
              <w:left w:val="single" w:sz="4" w:space="0" w:color="auto"/>
              <w:bottom w:val="nil"/>
              <w:right w:val="single" w:sz="4" w:space="0" w:color="auto"/>
            </w:tcBorders>
          </w:tcPr>
          <w:p w14:paraId="701B6A02" w14:textId="77777777" w:rsidR="00743041" w:rsidRDefault="00743041" w:rsidP="009348BE">
            <w:pPr>
              <w:pStyle w:val="ListParagraph"/>
              <w:ind w:left="0" w:right="-432"/>
              <w:jc w:val="center"/>
            </w:pPr>
            <w:r>
              <w:t>8</w:t>
            </w:r>
          </w:p>
        </w:tc>
        <w:tc>
          <w:tcPr>
            <w:tcW w:w="2552" w:type="dxa"/>
            <w:tcBorders>
              <w:top w:val="nil"/>
              <w:left w:val="single" w:sz="4" w:space="0" w:color="auto"/>
              <w:bottom w:val="nil"/>
              <w:right w:val="single" w:sz="4" w:space="0" w:color="auto"/>
            </w:tcBorders>
          </w:tcPr>
          <w:p w14:paraId="66BEB0A8" w14:textId="77777777" w:rsidR="00743041" w:rsidRDefault="00743041" w:rsidP="009348BE">
            <w:pPr>
              <w:pStyle w:val="ListParagraph"/>
              <w:ind w:left="0" w:right="-432"/>
              <w:jc w:val="center"/>
            </w:pPr>
            <w:r>
              <w:t>0.38</w:t>
            </w:r>
          </w:p>
        </w:tc>
      </w:tr>
      <w:tr w:rsidR="00743041" w14:paraId="79957021" w14:textId="77777777" w:rsidTr="00743041">
        <w:trPr>
          <w:jc w:val="center"/>
        </w:trPr>
        <w:tc>
          <w:tcPr>
            <w:tcW w:w="2223" w:type="dxa"/>
            <w:tcBorders>
              <w:top w:val="nil"/>
              <w:left w:val="single" w:sz="4" w:space="0" w:color="auto"/>
              <w:bottom w:val="nil"/>
              <w:right w:val="single" w:sz="4" w:space="0" w:color="auto"/>
            </w:tcBorders>
          </w:tcPr>
          <w:p w14:paraId="62E07FC8" w14:textId="77777777" w:rsidR="00743041" w:rsidRDefault="00743041" w:rsidP="009348BE">
            <w:pPr>
              <w:pStyle w:val="ListParagraph"/>
              <w:ind w:left="0" w:right="-432"/>
              <w:jc w:val="center"/>
            </w:pPr>
            <w:r>
              <w:t>9</w:t>
            </w:r>
          </w:p>
        </w:tc>
        <w:tc>
          <w:tcPr>
            <w:tcW w:w="2552" w:type="dxa"/>
            <w:tcBorders>
              <w:top w:val="nil"/>
              <w:left w:val="single" w:sz="4" w:space="0" w:color="auto"/>
              <w:bottom w:val="nil"/>
              <w:right w:val="single" w:sz="4" w:space="0" w:color="auto"/>
            </w:tcBorders>
          </w:tcPr>
          <w:p w14:paraId="59930E38" w14:textId="77777777" w:rsidR="00743041" w:rsidRDefault="00743041" w:rsidP="009348BE">
            <w:pPr>
              <w:pStyle w:val="ListParagraph"/>
              <w:ind w:left="0" w:right="-432"/>
              <w:jc w:val="center"/>
            </w:pPr>
            <w:r>
              <w:t>0.37</w:t>
            </w:r>
          </w:p>
        </w:tc>
      </w:tr>
      <w:tr w:rsidR="00743041" w14:paraId="44CD5418" w14:textId="77777777" w:rsidTr="00743041">
        <w:trPr>
          <w:jc w:val="center"/>
        </w:trPr>
        <w:tc>
          <w:tcPr>
            <w:tcW w:w="2223" w:type="dxa"/>
            <w:tcBorders>
              <w:top w:val="nil"/>
              <w:left w:val="single" w:sz="4" w:space="0" w:color="auto"/>
              <w:bottom w:val="nil"/>
              <w:right w:val="single" w:sz="4" w:space="0" w:color="auto"/>
            </w:tcBorders>
          </w:tcPr>
          <w:p w14:paraId="74FB9081" w14:textId="77777777" w:rsidR="00743041" w:rsidRDefault="00743041" w:rsidP="009348BE">
            <w:pPr>
              <w:pStyle w:val="ListParagraph"/>
              <w:ind w:left="0" w:right="-432"/>
              <w:jc w:val="center"/>
            </w:pPr>
            <w:r>
              <w:t>10</w:t>
            </w:r>
          </w:p>
        </w:tc>
        <w:tc>
          <w:tcPr>
            <w:tcW w:w="2552" w:type="dxa"/>
            <w:tcBorders>
              <w:top w:val="nil"/>
              <w:left w:val="single" w:sz="4" w:space="0" w:color="auto"/>
              <w:bottom w:val="nil"/>
              <w:right w:val="single" w:sz="4" w:space="0" w:color="auto"/>
            </w:tcBorders>
          </w:tcPr>
          <w:p w14:paraId="71E3A211" w14:textId="77777777" w:rsidR="00743041" w:rsidRDefault="00743041" w:rsidP="009348BE">
            <w:pPr>
              <w:pStyle w:val="ListParagraph"/>
              <w:ind w:left="0" w:right="-432"/>
              <w:jc w:val="center"/>
            </w:pPr>
            <w:r>
              <w:t>0.36</w:t>
            </w:r>
          </w:p>
        </w:tc>
      </w:tr>
      <w:tr w:rsidR="00743041" w14:paraId="5DA8FBE9" w14:textId="77777777" w:rsidTr="00743041">
        <w:trPr>
          <w:jc w:val="center"/>
        </w:trPr>
        <w:tc>
          <w:tcPr>
            <w:tcW w:w="2223" w:type="dxa"/>
            <w:tcBorders>
              <w:top w:val="nil"/>
              <w:left w:val="single" w:sz="4" w:space="0" w:color="auto"/>
              <w:bottom w:val="nil"/>
              <w:right w:val="single" w:sz="4" w:space="0" w:color="auto"/>
            </w:tcBorders>
          </w:tcPr>
          <w:p w14:paraId="1420088B" w14:textId="77777777" w:rsidR="00743041" w:rsidRDefault="00743041" w:rsidP="009348BE">
            <w:pPr>
              <w:pStyle w:val="ListParagraph"/>
              <w:ind w:left="0" w:right="-432"/>
              <w:jc w:val="center"/>
            </w:pPr>
            <w:r>
              <w:t>11</w:t>
            </w:r>
          </w:p>
        </w:tc>
        <w:tc>
          <w:tcPr>
            <w:tcW w:w="2552" w:type="dxa"/>
            <w:tcBorders>
              <w:top w:val="nil"/>
              <w:left w:val="single" w:sz="4" w:space="0" w:color="auto"/>
              <w:bottom w:val="nil"/>
              <w:right w:val="single" w:sz="4" w:space="0" w:color="auto"/>
            </w:tcBorders>
          </w:tcPr>
          <w:p w14:paraId="2BF47E96" w14:textId="77777777" w:rsidR="00743041" w:rsidRDefault="00743041" w:rsidP="009348BE">
            <w:pPr>
              <w:pStyle w:val="ListParagraph"/>
              <w:ind w:left="0" w:right="-432"/>
              <w:jc w:val="center"/>
            </w:pPr>
            <w:r>
              <w:t>0.35</w:t>
            </w:r>
          </w:p>
        </w:tc>
      </w:tr>
      <w:tr w:rsidR="00743041" w14:paraId="3C14F4F0" w14:textId="77777777" w:rsidTr="00743041">
        <w:trPr>
          <w:jc w:val="center"/>
        </w:trPr>
        <w:tc>
          <w:tcPr>
            <w:tcW w:w="2223" w:type="dxa"/>
            <w:tcBorders>
              <w:top w:val="nil"/>
              <w:left w:val="single" w:sz="4" w:space="0" w:color="auto"/>
              <w:bottom w:val="nil"/>
              <w:right w:val="single" w:sz="4" w:space="0" w:color="auto"/>
            </w:tcBorders>
          </w:tcPr>
          <w:p w14:paraId="36D4F50F" w14:textId="77777777" w:rsidR="00743041" w:rsidRDefault="00743041" w:rsidP="009348BE">
            <w:pPr>
              <w:pStyle w:val="ListParagraph"/>
              <w:ind w:left="0" w:right="-432"/>
              <w:jc w:val="center"/>
            </w:pPr>
            <w:r>
              <w:t>12</w:t>
            </w:r>
          </w:p>
        </w:tc>
        <w:tc>
          <w:tcPr>
            <w:tcW w:w="2552" w:type="dxa"/>
            <w:tcBorders>
              <w:top w:val="nil"/>
              <w:left w:val="single" w:sz="4" w:space="0" w:color="auto"/>
              <w:bottom w:val="nil"/>
              <w:right w:val="single" w:sz="4" w:space="0" w:color="auto"/>
            </w:tcBorders>
          </w:tcPr>
          <w:p w14:paraId="22CA0B01" w14:textId="77777777" w:rsidR="00743041" w:rsidRDefault="00743041" w:rsidP="009348BE">
            <w:pPr>
              <w:pStyle w:val="ListParagraph"/>
              <w:ind w:left="0" w:right="-432"/>
              <w:jc w:val="center"/>
            </w:pPr>
            <w:r>
              <w:t>0.34</w:t>
            </w:r>
          </w:p>
        </w:tc>
      </w:tr>
      <w:tr w:rsidR="00743041" w14:paraId="6DFBEBD6" w14:textId="77777777" w:rsidTr="00743041">
        <w:trPr>
          <w:jc w:val="center"/>
        </w:trPr>
        <w:tc>
          <w:tcPr>
            <w:tcW w:w="2223" w:type="dxa"/>
            <w:tcBorders>
              <w:top w:val="nil"/>
              <w:left w:val="single" w:sz="4" w:space="0" w:color="auto"/>
              <w:bottom w:val="nil"/>
              <w:right w:val="single" w:sz="4" w:space="0" w:color="auto"/>
            </w:tcBorders>
          </w:tcPr>
          <w:p w14:paraId="0B057149" w14:textId="77777777" w:rsidR="00743041" w:rsidRDefault="00743041" w:rsidP="009348BE">
            <w:pPr>
              <w:pStyle w:val="ListParagraph"/>
              <w:ind w:left="0" w:right="-432"/>
              <w:jc w:val="center"/>
            </w:pPr>
            <w:r>
              <w:t>13</w:t>
            </w:r>
          </w:p>
        </w:tc>
        <w:tc>
          <w:tcPr>
            <w:tcW w:w="2552" w:type="dxa"/>
            <w:tcBorders>
              <w:top w:val="nil"/>
              <w:left w:val="single" w:sz="4" w:space="0" w:color="auto"/>
              <w:bottom w:val="nil"/>
              <w:right w:val="single" w:sz="4" w:space="0" w:color="auto"/>
            </w:tcBorders>
          </w:tcPr>
          <w:p w14:paraId="6AD7A5AE" w14:textId="77777777" w:rsidR="00743041" w:rsidRDefault="00743041" w:rsidP="009348BE">
            <w:pPr>
              <w:pStyle w:val="ListParagraph"/>
              <w:ind w:left="0" w:right="-432"/>
              <w:jc w:val="center"/>
            </w:pPr>
            <w:r>
              <w:t>0.33</w:t>
            </w:r>
          </w:p>
        </w:tc>
      </w:tr>
      <w:tr w:rsidR="00743041" w14:paraId="2F6CA900" w14:textId="77777777" w:rsidTr="00743041">
        <w:trPr>
          <w:jc w:val="center"/>
        </w:trPr>
        <w:tc>
          <w:tcPr>
            <w:tcW w:w="2223" w:type="dxa"/>
            <w:tcBorders>
              <w:top w:val="nil"/>
              <w:left w:val="single" w:sz="4" w:space="0" w:color="auto"/>
              <w:bottom w:val="nil"/>
              <w:right w:val="single" w:sz="4" w:space="0" w:color="auto"/>
            </w:tcBorders>
          </w:tcPr>
          <w:p w14:paraId="749352AC" w14:textId="77777777" w:rsidR="00743041" w:rsidRDefault="00743041" w:rsidP="009348BE">
            <w:pPr>
              <w:pStyle w:val="ListParagraph"/>
              <w:ind w:left="0" w:right="-432"/>
              <w:jc w:val="center"/>
            </w:pPr>
            <w:r>
              <w:t>14</w:t>
            </w:r>
          </w:p>
        </w:tc>
        <w:tc>
          <w:tcPr>
            <w:tcW w:w="2552" w:type="dxa"/>
            <w:tcBorders>
              <w:top w:val="nil"/>
              <w:left w:val="single" w:sz="4" w:space="0" w:color="auto"/>
              <w:bottom w:val="nil"/>
              <w:right w:val="single" w:sz="4" w:space="0" w:color="auto"/>
            </w:tcBorders>
          </w:tcPr>
          <w:p w14:paraId="52D779E8" w14:textId="77777777" w:rsidR="00743041" w:rsidRDefault="00743041" w:rsidP="009348BE">
            <w:pPr>
              <w:pStyle w:val="ListParagraph"/>
              <w:ind w:left="0" w:right="-432"/>
              <w:jc w:val="center"/>
            </w:pPr>
            <w:r>
              <w:t>0.32</w:t>
            </w:r>
          </w:p>
        </w:tc>
      </w:tr>
      <w:tr w:rsidR="00743041" w14:paraId="0FD4CE7E" w14:textId="77777777" w:rsidTr="00743041">
        <w:trPr>
          <w:jc w:val="center"/>
        </w:trPr>
        <w:tc>
          <w:tcPr>
            <w:tcW w:w="2223" w:type="dxa"/>
            <w:tcBorders>
              <w:top w:val="nil"/>
              <w:left w:val="single" w:sz="4" w:space="0" w:color="auto"/>
              <w:bottom w:val="nil"/>
              <w:right w:val="single" w:sz="4" w:space="0" w:color="auto"/>
            </w:tcBorders>
          </w:tcPr>
          <w:p w14:paraId="769C382B" w14:textId="77777777" w:rsidR="00743041" w:rsidRDefault="00743041" w:rsidP="009348BE">
            <w:pPr>
              <w:pStyle w:val="ListParagraph"/>
              <w:ind w:left="0" w:right="-432"/>
              <w:jc w:val="center"/>
            </w:pPr>
            <w:r>
              <w:t>15</w:t>
            </w:r>
          </w:p>
        </w:tc>
        <w:tc>
          <w:tcPr>
            <w:tcW w:w="2552" w:type="dxa"/>
            <w:tcBorders>
              <w:top w:val="nil"/>
              <w:left w:val="single" w:sz="4" w:space="0" w:color="auto"/>
              <w:bottom w:val="nil"/>
              <w:right w:val="single" w:sz="4" w:space="0" w:color="auto"/>
            </w:tcBorders>
          </w:tcPr>
          <w:p w14:paraId="6223BB49" w14:textId="77777777" w:rsidR="00743041" w:rsidRDefault="00743041" w:rsidP="009348BE">
            <w:pPr>
              <w:pStyle w:val="ListParagraph"/>
              <w:ind w:left="0" w:right="-432"/>
              <w:jc w:val="center"/>
            </w:pPr>
            <w:r>
              <w:t>0.31</w:t>
            </w:r>
          </w:p>
        </w:tc>
      </w:tr>
      <w:tr w:rsidR="00743041" w14:paraId="0F0913A8" w14:textId="77777777" w:rsidTr="00743041">
        <w:trPr>
          <w:jc w:val="center"/>
        </w:trPr>
        <w:tc>
          <w:tcPr>
            <w:tcW w:w="2223" w:type="dxa"/>
            <w:tcBorders>
              <w:top w:val="nil"/>
              <w:left w:val="single" w:sz="4" w:space="0" w:color="auto"/>
              <w:bottom w:val="nil"/>
              <w:right w:val="single" w:sz="4" w:space="0" w:color="auto"/>
            </w:tcBorders>
          </w:tcPr>
          <w:p w14:paraId="72026B9F" w14:textId="77777777" w:rsidR="00743041" w:rsidRDefault="00743041" w:rsidP="009348BE">
            <w:pPr>
              <w:pStyle w:val="ListParagraph"/>
              <w:ind w:left="0" w:right="-432"/>
              <w:jc w:val="center"/>
            </w:pPr>
            <w:r>
              <w:t>16</w:t>
            </w:r>
          </w:p>
        </w:tc>
        <w:tc>
          <w:tcPr>
            <w:tcW w:w="2552" w:type="dxa"/>
            <w:tcBorders>
              <w:top w:val="nil"/>
              <w:left w:val="single" w:sz="4" w:space="0" w:color="auto"/>
              <w:bottom w:val="nil"/>
              <w:right w:val="single" w:sz="4" w:space="0" w:color="auto"/>
            </w:tcBorders>
          </w:tcPr>
          <w:p w14:paraId="61E7A746" w14:textId="77777777" w:rsidR="00743041" w:rsidRDefault="00743041" w:rsidP="009348BE">
            <w:pPr>
              <w:pStyle w:val="ListParagraph"/>
              <w:ind w:left="0" w:right="-432"/>
              <w:jc w:val="center"/>
            </w:pPr>
            <w:r>
              <w:t>0.30</w:t>
            </w:r>
          </w:p>
        </w:tc>
      </w:tr>
      <w:tr w:rsidR="00743041" w14:paraId="4327DDFD" w14:textId="77777777" w:rsidTr="00743041">
        <w:trPr>
          <w:jc w:val="center"/>
        </w:trPr>
        <w:tc>
          <w:tcPr>
            <w:tcW w:w="2223" w:type="dxa"/>
            <w:tcBorders>
              <w:top w:val="nil"/>
              <w:left w:val="single" w:sz="4" w:space="0" w:color="auto"/>
              <w:bottom w:val="nil"/>
              <w:right w:val="single" w:sz="4" w:space="0" w:color="auto"/>
            </w:tcBorders>
          </w:tcPr>
          <w:p w14:paraId="6A43C4BB" w14:textId="77777777" w:rsidR="00743041" w:rsidRDefault="00743041" w:rsidP="009348BE">
            <w:pPr>
              <w:pStyle w:val="ListParagraph"/>
              <w:ind w:left="0" w:right="-432"/>
              <w:jc w:val="center"/>
            </w:pPr>
            <w:r>
              <w:t>17</w:t>
            </w:r>
          </w:p>
        </w:tc>
        <w:tc>
          <w:tcPr>
            <w:tcW w:w="2552" w:type="dxa"/>
            <w:tcBorders>
              <w:top w:val="nil"/>
              <w:left w:val="single" w:sz="4" w:space="0" w:color="auto"/>
              <w:bottom w:val="nil"/>
              <w:right w:val="single" w:sz="4" w:space="0" w:color="auto"/>
            </w:tcBorders>
          </w:tcPr>
          <w:p w14:paraId="44DF3CAF" w14:textId="77777777" w:rsidR="00743041" w:rsidRDefault="00743041" w:rsidP="009348BE">
            <w:pPr>
              <w:pStyle w:val="ListParagraph"/>
              <w:ind w:left="0" w:right="-432"/>
              <w:jc w:val="center"/>
            </w:pPr>
            <w:r>
              <w:t>0.29</w:t>
            </w:r>
          </w:p>
        </w:tc>
      </w:tr>
      <w:tr w:rsidR="00743041" w14:paraId="2A3374F8" w14:textId="77777777" w:rsidTr="00743041">
        <w:trPr>
          <w:jc w:val="center"/>
        </w:trPr>
        <w:tc>
          <w:tcPr>
            <w:tcW w:w="2223" w:type="dxa"/>
            <w:tcBorders>
              <w:top w:val="nil"/>
              <w:left w:val="single" w:sz="4" w:space="0" w:color="auto"/>
              <w:bottom w:val="nil"/>
              <w:right w:val="single" w:sz="4" w:space="0" w:color="auto"/>
            </w:tcBorders>
          </w:tcPr>
          <w:p w14:paraId="6B7C19A2" w14:textId="77777777" w:rsidR="00743041" w:rsidRDefault="00743041" w:rsidP="009348BE">
            <w:pPr>
              <w:pStyle w:val="ListParagraph"/>
              <w:ind w:left="0" w:right="-432"/>
              <w:jc w:val="center"/>
            </w:pPr>
            <w:r>
              <w:t>18</w:t>
            </w:r>
          </w:p>
        </w:tc>
        <w:tc>
          <w:tcPr>
            <w:tcW w:w="2552" w:type="dxa"/>
            <w:tcBorders>
              <w:top w:val="nil"/>
              <w:left w:val="single" w:sz="4" w:space="0" w:color="auto"/>
              <w:bottom w:val="nil"/>
              <w:right w:val="single" w:sz="4" w:space="0" w:color="auto"/>
            </w:tcBorders>
          </w:tcPr>
          <w:p w14:paraId="12F05D2E" w14:textId="77777777" w:rsidR="00743041" w:rsidRDefault="00743041" w:rsidP="009348BE">
            <w:pPr>
              <w:pStyle w:val="ListParagraph"/>
              <w:ind w:left="0" w:right="-432"/>
              <w:jc w:val="center"/>
            </w:pPr>
            <w:r>
              <w:t>0.28</w:t>
            </w:r>
          </w:p>
        </w:tc>
      </w:tr>
      <w:tr w:rsidR="00743041" w14:paraId="0E5E5712" w14:textId="77777777" w:rsidTr="00743041">
        <w:trPr>
          <w:jc w:val="center"/>
        </w:trPr>
        <w:tc>
          <w:tcPr>
            <w:tcW w:w="2223" w:type="dxa"/>
            <w:tcBorders>
              <w:top w:val="nil"/>
              <w:left w:val="single" w:sz="4" w:space="0" w:color="auto"/>
              <w:bottom w:val="nil"/>
              <w:right w:val="single" w:sz="4" w:space="0" w:color="auto"/>
            </w:tcBorders>
          </w:tcPr>
          <w:p w14:paraId="131B1DF8" w14:textId="77777777" w:rsidR="00743041" w:rsidRDefault="00743041" w:rsidP="009348BE">
            <w:pPr>
              <w:pStyle w:val="ListParagraph"/>
              <w:ind w:left="0" w:right="-432"/>
              <w:jc w:val="center"/>
            </w:pPr>
            <w:r>
              <w:t>19</w:t>
            </w:r>
          </w:p>
        </w:tc>
        <w:tc>
          <w:tcPr>
            <w:tcW w:w="2552" w:type="dxa"/>
            <w:tcBorders>
              <w:top w:val="nil"/>
              <w:left w:val="single" w:sz="4" w:space="0" w:color="auto"/>
              <w:bottom w:val="nil"/>
              <w:right w:val="single" w:sz="4" w:space="0" w:color="auto"/>
            </w:tcBorders>
          </w:tcPr>
          <w:p w14:paraId="12597EB3" w14:textId="77777777" w:rsidR="00743041" w:rsidRDefault="00743041" w:rsidP="009348BE">
            <w:pPr>
              <w:pStyle w:val="ListParagraph"/>
              <w:ind w:left="0" w:right="-432"/>
              <w:jc w:val="center"/>
            </w:pPr>
            <w:r>
              <w:t>0.27</w:t>
            </w:r>
          </w:p>
        </w:tc>
      </w:tr>
      <w:tr w:rsidR="00743041" w14:paraId="3524AEB6" w14:textId="77777777" w:rsidTr="00743041">
        <w:trPr>
          <w:jc w:val="center"/>
        </w:trPr>
        <w:tc>
          <w:tcPr>
            <w:tcW w:w="2223" w:type="dxa"/>
            <w:tcBorders>
              <w:top w:val="nil"/>
              <w:left w:val="single" w:sz="4" w:space="0" w:color="auto"/>
              <w:bottom w:val="nil"/>
              <w:right w:val="single" w:sz="4" w:space="0" w:color="auto"/>
            </w:tcBorders>
          </w:tcPr>
          <w:p w14:paraId="543F104D" w14:textId="77777777" w:rsidR="00743041" w:rsidRDefault="00743041" w:rsidP="009348BE">
            <w:pPr>
              <w:pStyle w:val="ListParagraph"/>
              <w:ind w:left="0" w:right="-432"/>
              <w:jc w:val="center"/>
            </w:pPr>
            <w:r>
              <w:t>20</w:t>
            </w:r>
          </w:p>
        </w:tc>
        <w:tc>
          <w:tcPr>
            <w:tcW w:w="2552" w:type="dxa"/>
            <w:tcBorders>
              <w:top w:val="nil"/>
              <w:left w:val="single" w:sz="4" w:space="0" w:color="auto"/>
              <w:bottom w:val="nil"/>
              <w:right w:val="single" w:sz="4" w:space="0" w:color="auto"/>
            </w:tcBorders>
          </w:tcPr>
          <w:p w14:paraId="12612DBF" w14:textId="77777777" w:rsidR="00743041" w:rsidRDefault="00743041" w:rsidP="009348BE">
            <w:pPr>
              <w:pStyle w:val="ListParagraph"/>
              <w:ind w:left="0" w:right="-432"/>
              <w:jc w:val="center"/>
            </w:pPr>
            <w:r>
              <w:t>0.26</w:t>
            </w:r>
          </w:p>
        </w:tc>
      </w:tr>
      <w:tr w:rsidR="00743041" w14:paraId="06A426A0" w14:textId="77777777" w:rsidTr="00743041">
        <w:trPr>
          <w:jc w:val="center"/>
        </w:trPr>
        <w:tc>
          <w:tcPr>
            <w:tcW w:w="2223" w:type="dxa"/>
            <w:tcBorders>
              <w:top w:val="nil"/>
              <w:left w:val="single" w:sz="4" w:space="0" w:color="auto"/>
              <w:bottom w:val="nil"/>
              <w:right w:val="single" w:sz="4" w:space="0" w:color="auto"/>
            </w:tcBorders>
          </w:tcPr>
          <w:p w14:paraId="5B4F4A0B" w14:textId="77777777" w:rsidR="00743041" w:rsidRDefault="00743041" w:rsidP="009348BE">
            <w:pPr>
              <w:pStyle w:val="ListParagraph"/>
              <w:ind w:left="0" w:right="-432"/>
              <w:jc w:val="center"/>
            </w:pPr>
            <w:r>
              <w:t>21-30</w:t>
            </w:r>
          </w:p>
        </w:tc>
        <w:tc>
          <w:tcPr>
            <w:tcW w:w="2552" w:type="dxa"/>
            <w:tcBorders>
              <w:top w:val="nil"/>
              <w:left w:val="single" w:sz="4" w:space="0" w:color="auto"/>
              <w:bottom w:val="nil"/>
              <w:right w:val="single" w:sz="4" w:space="0" w:color="auto"/>
            </w:tcBorders>
          </w:tcPr>
          <w:p w14:paraId="0BD85E3E" w14:textId="77777777" w:rsidR="00743041" w:rsidRDefault="00743041" w:rsidP="009348BE">
            <w:pPr>
              <w:pStyle w:val="ListParagraph"/>
              <w:ind w:left="0" w:right="-432"/>
              <w:jc w:val="center"/>
            </w:pPr>
            <w:r>
              <w:t>0.25</w:t>
            </w:r>
          </w:p>
        </w:tc>
      </w:tr>
      <w:tr w:rsidR="00743041" w14:paraId="52F0E6B2" w14:textId="77777777" w:rsidTr="00743041">
        <w:trPr>
          <w:jc w:val="center"/>
        </w:trPr>
        <w:tc>
          <w:tcPr>
            <w:tcW w:w="2223" w:type="dxa"/>
            <w:tcBorders>
              <w:top w:val="nil"/>
              <w:left w:val="single" w:sz="4" w:space="0" w:color="auto"/>
              <w:bottom w:val="nil"/>
              <w:right w:val="single" w:sz="4" w:space="0" w:color="auto"/>
            </w:tcBorders>
          </w:tcPr>
          <w:p w14:paraId="626A8125" w14:textId="77777777" w:rsidR="00743041" w:rsidRDefault="00743041" w:rsidP="009348BE">
            <w:pPr>
              <w:pStyle w:val="ListParagraph"/>
              <w:ind w:left="0" w:right="-432"/>
              <w:jc w:val="center"/>
            </w:pPr>
            <w:r>
              <w:t>31-50</w:t>
            </w:r>
          </w:p>
        </w:tc>
        <w:tc>
          <w:tcPr>
            <w:tcW w:w="2552" w:type="dxa"/>
            <w:tcBorders>
              <w:top w:val="nil"/>
              <w:left w:val="single" w:sz="4" w:space="0" w:color="auto"/>
              <w:bottom w:val="nil"/>
              <w:right w:val="single" w:sz="4" w:space="0" w:color="auto"/>
            </w:tcBorders>
          </w:tcPr>
          <w:p w14:paraId="2AE94B0C" w14:textId="77777777" w:rsidR="00743041" w:rsidRDefault="00743041" w:rsidP="009348BE">
            <w:pPr>
              <w:pStyle w:val="ListParagraph"/>
              <w:ind w:left="0" w:right="-432"/>
              <w:jc w:val="center"/>
            </w:pPr>
            <w:r>
              <w:t>0.20</w:t>
            </w:r>
          </w:p>
        </w:tc>
      </w:tr>
      <w:tr w:rsidR="00743041" w14:paraId="36F0D1BA" w14:textId="77777777" w:rsidTr="00743041">
        <w:trPr>
          <w:jc w:val="center"/>
        </w:trPr>
        <w:tc>
          <w:tcPr>
            <w:tcW w:w="2223" w:type="dxa"/>
            <w:tcBorders>
              <w:top w:val="nil"/>
              <w:left w:val="single" w:sz="4" w:space="0" w:color="auto"/>
              <w:bottom w:val="nil"/>
              <w:right w:val="single" w:sz="4" w:space="0" w:color="auto"/>
            </w:tcBorders>
          </w:tcPr>
          <w:p w14:paraId="7ECF249C" w14:textId="77777777" w:rsidR="00743041" w:rsidRDefault="00743041" w:rsidP="009348BE">
            <w:pPr>
              <w:pStyle w:val="ListParagraph"/>
              <w:ind w:left="0" w:right="-432"/>
              <w:jc w:val="center"/>
            </w:pPr>
            <w:r>
              <w:t>51-100</w:t>
            </w:r>
          </w:p>
        </w:tc>
        <w:tc>
          <w:tcPr>
            <w:tcW w:w="2552" w:type="dxa"/>
            <w:tcBorders>
              <w:top w:val="nil"/>
              <w:left w:val="single" w:sz="4" w:space="0" w:color="auto"/>
              <w:bottom w:val="nil"/>
              <w:right w:val="single" w:sz="4" w:space="0" w:color="auto"/>
            </w:tcBorders>
          </w:tcPr>
          <w:p w14:paraId="6BBC6EBA" w14:textId="77777777" w:rsidR="00743041" w:rsidRDefault="00743041" w:rsidP="009348BE">
            <w:pPr>
              <w:pStyle w:val="ListParagraph"/>
              <w:ind w:left="0" w:right="-432"/>
              <w:jc w:val="center"/>
            </w:pPr>
            <w:r>
              <w:t>0.15</w:t>
            </w:r>
          </w:p>
        </w:tc>
      </w:tr>
      <w:tr w:rsidR="00743041" w14:paraId="46439769" w14:textId="77777777" w:rsidTr="00743041">
        <w:trPr>
          <w:jc w:val="center"/>
        </w:trPr>
        <w:tc>
          <w:tcPr>
            <w:tcW w:w="2223" w:type="dxa"/>
            <w:tcBorders>
              <w:top w:val="nil"/>
              <w:left w:val="single" w:sz="4" w:space="0" w:color="auto"/>
              <w:bottom w:val="nil"/>
              <w:right w:val="single" w:sz="4" w:space="0" w:color="auto"/>
            </w:tcBorders>
          </w:tcPr>
          <w:p w14:paraId="4FAAA5A9" w14:textId="6A17190A" w:rsidR="00743041" w:rsidRDefault="008D5023" w:rsidP="009348BE">
            <w:pPr>
              <w:pStyle w:val="ListParagraph"/>
              <w:ind w:left="0" w:right="-432"/>
              <w:jc w:val="center"/>
            </w:pPr>
            <w:r>
              <w:t>101-20</w:t>
            </w:r>
            <w:r w:rsidR="00743041">
              <w:t>0</w:t>
            </w:r>
          </w:p>
        </w:tc>
        <w:tc>
          <w:tcPr>
            <w:tcW w:w="2552" w:type="dxa"/>
            <w:tcBorders>
              <w:top w:val="nil"/>
              <w:left w:val="single" w:sz="4" w:space="0" w:color="auto"/>
              <w:bottom w:val="nil"/>
              <w:right w:val="single" w:sz="4" w:space="0" w:color="auto"/>
            </w:tcBorders>
          </w:tcPr>
          <w:p w14:paraId="60A21D1C" w14:textId="77777777" w:rsidR="00743041" w:rsidRDefault="00743041" w:rsidP="009348BE">
            <w:pPr>
              <w:pStyle w:val="ListParagraph"/>
              <w:ind w:left="0" w:right="-432"/>
              <w:jc w:val="center"/>
            </w:pPr>
            <w:r>
              <w:t>0.10</w:t>
            </w:r>
          </w:p>
        </w:tc>
      </w:tr>
      <w:tr w:rsidR="00743041" w14:paraId="60EC8325" w14:textId="77777777" w:rsidTr="00743041">
        <w:trPr>
          <w:jc w:val="center"/>
        </w:trPr>
        <w:tc>
          <w:tcPr>
            <w:tcW w:w="2223" w:type="dxa"/>
            <w:tcBorders>
              <w:top w:val="nil"/>
              <w:left w:val="single" w:sz="4" w:space="0" w:color="auto"/>
              <w:bottom w:val="single" w:sz="4" w:space="0" w:color="auto"/>
              <w:right w:val="single" w:sz="4" w:space="0" w:color="auto"/>
            </w:tcBorders>
          </w:tcPr>
          <w:p w14:paraId="2A1461A0" w14:textId="35174D4B" w:rsidR="00743041" w:rsidRDefault="008D5023" w:rsidP="009348BE">
            <w:pPr>
              <w:pStyle w:val="ListParagraph"/>
              <w:ind w:left="0" w:right="-432"/>
              <w:jc w:val="center"/>
            </w:pPr>
            <w:r>
              <w:t>201</w:t>
            </w:r>
            <w:r w:rsidR="00743041">
              <w:t>+</w:t>
            </w:r>
          </w:p>
        </w:tc>
        <w:tc>
          <w:tcPr>
            <w:tcW w:w="2552" w:type="dxa"/>
            <w:tcBorders>
              <w:top w:val="nil"/>
              <w:left w:val="single" w:sz="4" w:space="0" w:color="auto"/>
              <w:bottom w:val="single" w:sz="4" w:space="0" w:color="auto"/>
              <w:right w:val="single" w:sz="4" w:space="0" w:color="auto"/>
            </w:tcBorders>
          </w:tcPr>
          <w:p w14:paraId="6AF1FFBA" w14:textId="77777777" w:rsidR="00743041" w:rsidRDefault="00743041" w:rsidP="009348BE">
            <w:pPr>
              <w:pStyle w:val="ListParagraph"/>
              <w:ind w:left="0" w:right="-432"/>
              <w:jc w:val="center"/>
            </w:pPr>
            <w:r>
              <w:t>0.05</w:t>
            </w:r>
          </w:p>
        </w:tc>
      </w:tr>
    </w:tbl>
    <w:p w14:paraId="4BFC7012" w14:textId="77777777" w:rsidR="00CE0F83" w:rsidRDefault="00CE0F83" w:rsidP="009348BE">
      <w:pPr>
        <w:pStyle w:val="ListParagraph"/>
        <w:ind w:left="851" w:right="-432" w:hanging="131"/>
      </w:pPr>
    </w:p>
    <w:p w14:paraId="6C7016F4" w14:textId="5636FFA4" w:rsidR="00743041" w:rsidRPr="00743041" w:rsidRDefault="00743041" w:rsidP="009348BE">
      <w:pPr>
        <w:pStyle w:val="ListParagraph"/>
        <w:ind w:left="851" w:right="-432" w:hanging="131"/>
        <w:jc w:val="both"/>
      </w:pPr>
      <w:r>
        <w:t xml:space="preserve">* </w:t>
      </w:r>
      <w:r w:rsidRPr="00743041">
        <w:t xml:space="preserve">Throw together teams (with less </w:t>
      </w:r>
      <w:r>
        <w:t>then 3 regular members) will</w:t>
      </w:r>
      <w:r w:rsidRPr="00743041">
        <w:t xml:space="preserve"> be counted in the </w:t>
      </w:r>
      <w:r w:rsidR="00CF7DC1">
        <w:t>SFM</w:t>
      </w:r>
      <w:r w:rsidRPr="00743041">
        <w:t xml:space="preserve"> multiplier, using the same formula to create teams at the beginning of the season. Back-end players (</w:t>
      </w:r>
      <w:r w:rsidR="00CF7DC1">
        <w:t>max</w:t>
      </w:r>
      <w:r w:rsidR="009348BE">
        <w:t>imum</w:t>
      </w:r>
      <w:r w:rsidRPr="00743041">
        <w:t xml:space="preserve"> 2 per team) will count 25% of their</w:t>
      </w:r>
      <w:r w:rsidR="00CF7DC1">
        <w:t xml:space="preserve"> current OOM points, with front-</w:t>
      </w:r>
      <w:r w:rsidRPr="00743041">
        <w:t>end players counting 15% of their points, for a team total of 80%. This team will then be seeded int</w:t>
      </w:r>
      <w:r w:rsidR="00CF7DC1">
        <w:t xml:space="preserve">o the SFM like any other team. </w:t>
      </w:r>
      <w:r w:rsidR="00C23BF5">
        <w:t xml:space="preserve">This team is </w:t>
      </w:r>
      <w:r w:rsidR="00C23BF5" w:rsidRPr="00C23BF5">
        <w:rPr>
          <w:b/>
          <w:u w:val="single"/>
        </w:rPr>
        <w:t>not</w:t>
      </w:r>
      <w:r w:rsidRPr="00743041">
        <w:t xml:space="preserve"> eligible to earn points, but this will better reflect the true </w:t>
      </w:r>
      <w:r w:rsidR="00CF7DC1">
        <w:t>SFM</w:t>
      </w:r>
      <w:r w:rsidRPr="00743041">
        <w:t xml:space="preserve"> value </w:t>
      </w:r>
      <w:r w:rsidR="00CF7DC1">
        <w:t>this team brings to an event.</w:t>
      </w:r>
    </w:p>
    <w:p w14:paraId="22A60AA2" w14:textId="77777777" w:rsidR="00743041" w:rsidRDefault="00743041" w:rsidP="009348BE">
      <w:pPr>
        <w:ind w:right="-432"/>
      </w:pPr>
    </w:p>
    <w:p w14:paraId="56F2B0EE" w14:textId="77777777" w:rsidR="00743041" w:rsidRDefault="00CF7DC1" w:rsidP="009348BE">
      <w:pPr>
        <w:pStyle w:val="ListParagraph"/>
        <w:numPr>
          <w:ilvl w:val="0"/>
          <w:numId w:val="1"/>
        </w:numPr>
        <w:ind w:right="-432"/>
        <w:jc w:val="both"/>
      </w:pPr>
      <w:r>
        <w:t xml:space="preserve">The </w:t>
      </w:r>
      <w:r w:rsidR="00C66282">
        <w:t xml:space="preserve">cumulative </w:t>
      </w:r>
      <w:r>
        <w:t xml:space="preserve">SFM number, as calculated above, will then be scaled to a 24-team format. </w:t>
      </w:r>
      <w:r w:rsidR="00C66282">
        <w:t xml:space="preserve">This scaled SFM value is now normalized so it does not reflect the number of teams at an event. </w:t>
      </w:r>
    </w:p>
    <w:p w14:paraId="16FA22C7" w14:textId="77777777" w:rsidR="009348BE" w:rsidRDefault="009348BE" w:rsidP="009348BE">
      <w:pPr>
        <w:pStyle w:val="ListParagraph"/>
        <w:ind w:right="-432"/>
        <w:jc w:val="both"/>
      </w:pPr>
    </w:p>
    <w:p w14:paraId="377A90A0" w14:textId="77777777" w:rsidR="00C66282" w:rsidRDefault="00C66282" w:rsidP="009348BE">
      <w:pPr>
        <w:pStyle w:val="ListParagraph"/>
        <w:numPr>
          <w:ilvl w:val="1"/>
          <w:numId w:val="1"/>
        </w:numPr>
        <w:ind w:right="-432"/>
      </w:pPr>
      <w:r>
        <w:t>Example 1: A 32-team event with a cumulative SFM of 5.6:</w:t>
      </w:r>
    </w:p>
    <w:p w14:paraId="740B0EC2" w14:textId="092B9167" w:rsidR="00C66282" w:rsidRPr="009348BE" w:rsidRDefault="009348BE" w:rsidP="009348BE">
      <w:pPr>
        <w:ind w:left="1080" w:right="-432"/>
        <w:jc w:val="center"/>
        <w:rPr>
          <w:b/>
        </w:rPr>
      </w:pPr>
      <m:oMath>
        <m:r>
          <m:rPr>
            <m:sty m:val="bi"/>
          </m:rPr>
          <w:rPr>
            <w:rFonts w:ascii="Cambria Math" w:hAnsi="Cambria Math"/>
          </w:rPr>
          <m:t>5.6*(</m:t>
        </m:r>
        <m:f>
          <m:fPr>
            <m:type m:val="skw"/>
            <m:ctrlPr>
              <w:rPr>
                <w:rFonts w:ascii="Cambria Math" w:hAnsi="Cambria Math"/>
                <w:b/>
                <w:i/>
              </w:rPr>
            </m:ctrlPr>
          </m:fPr>
          <m:num>
            <m:r>
              <m:rPr>
                <m:sty m:val="bi"/>
              </m:rPr>
              <w:rPr>
                <w:rFonts w:ascii="Cambria Math" w:hAnsi="Cambria Math"/>
              </w:rPr>
              <m:t>24</m:t>
            </m:r>
          </m:num>
          <m:den>
            <m:r>
              <m:rPr>
                <m:sty m:val="bi"/>
              </m:rPr>
              <w:rPr>
                <w:rFonts w:ascii="Cambria Math" w:hAnsi="Cambria Math"/>
              </w:rPr>
              <m:t>32</m:t>
            </m:r>
          </m:den>
        </m:f>
        <m:r>
          <m:rPr>
            <m:sty m:val="bi"/>
          </m:rPr>
          <w:rPr>
            <w:rFonts w:ascii="Cambria Math" w:hAnsi="Cambria Math"/>
          </w:rPr>
          <m:t xml:space="preserve">)= </m:t>
        </m:r>
      </m:oMath>
      <w:r w:rsidR="00C66282" w:rsidRPr="009348BE">
        <w:rPr>
          <w:b/>
        </w:rPr>
        <w:t>4.2</w:t>
      </w:r>
    </w:p>
    <w:p w14:paraId="1514EADC" w14:textId="77777777" w:rsidR="009348BE" w:rsidRDefault="009348BE" w:rsidP="009348BE">
      <w:pPr>
        <w:ind w:left="1080" w:right="-432"/>
        <w:jc w:val="center"/>
      </w:pPr>
    </w:p>
    <w:p w14:paraId="67421100" w14:textId="77777777" w:rsidR="00C66282" w:rsidRDefault="00C66282" w:rsidP="009348BE">
      <w:pPr>
        <w:pStyle w:val="ListParagraph"/>
        <w:numPr>
          <w:ilvl w:val="1"/>
          <w:numId w:val="1"/>
        </w:numPr>
        <w:ind w:right="-432"/>
      </w:pPr>
      <w:r>
        <w:t>Example 2: A 16-team event with a cumulative SFM of 2.4:</w:t>
      </w:r>
    </w:p>
    <w:p w14:paraId="6C9315D3" w14:textId="7E5BC31B" w:rsidR="00C66282" w:rsidRPr="009348BE" w:rsidRDefault="009348BE" w:rsidP="009348BE">
      <w:pPr>
        <w:ind w:left="1080" w:right="-432"/>
        <w:rPr>
          <w:rFonts w:ascii="Cambria Math" w:hAnsi="Cambria Math"/>
          <w:b/>
        </w:rPr>
      </w:pPr>
      <m:oMathPara>
        <m:oMathParaPr>
          <m:jc m:val="center"/>
        </m:oMathParaPr>
        <m:oMath>
          <m:r>
            <m:rPr>
              <m:sty m:val="bi"/>
            </m:rPr>
            <w:rPr>
              <w:rFonts w:ascii="Cambria Math" w:hAnsi="Cambria Math"/>
            </w:rPr>
            <m:t>2.4*</m:t>
          </m:r>
          <m:d>
            <m:dPr>
              <m:ctrlPr>
                <w:rPr>
                  <w:rFonts w:ascii="Cambria Math" w:hAnsi="Cambria Math"/>
                  <w:b/>
                  <w:i/>
                </w:rPr>
              </m:ctrlPr>
            </m:dPr>
            <m:e>
              <m:f>
                <m:fPr>
                  <m:type m:val="skw"/>
                  <m:ctrlPr>
                    <w:rPr>
                      <w:rFonts w:ascii="Cambria Math" w:hAnsi="Cambria Math"/>
                      <w:b/>
                      <w:i/>
                    </w:rPr>
                  </m:ctrlPr>
                </m:fPr>
                <m:num>
                  <m:r>
                    <m:rPr>
                      <m:sty m:val="bi"/>
                    </m:rPr>
                    <w:rPr>
                      <w:rFonts w:ascii="Cambria Math" w:hAnsi="Cambria Math"/>
                    </w:rPr>
                    <m:t>24</m:t>
                  </m:r>
                </m:num>
                <m:den>
                  <m:r>
                    <m:rPr>
                      <m:sty m:val="bi"/>
                    </m:rPr>
                    <w:rPr>
                      <w:rFonts w:ascii="Cambria Math" w:hAnsi="Cambria Math"/>
                    </w:rPr>
                    <m:t>16</m:t>
                  </m:r>
                </m:den>
              </m:f>
            </m:e>
          </m:d>
          <m:r>
            <m:rPr>
              <m:sty m:val="bi"/>
            </m:rPr>
            <w:rPr>
              <w:rFonts w:ascii="Cambria Math" w:hAnsi="Cambria Math"/>
            </w:rPr>
            <m:t>=3.6</m:t>
          </m:r>
        </m:oMath>
      </m:oMathPara>
    </w:p>
    <w:p w14:paraId="2158EF9A" w14:textId="77777777" w:rsidR="009348BE" w:rsidRPr="009348BE" w:rsidRDefault="009348BE" w:rsidP="009348BE">
      <w:pPr>
        <w:ind w:left="1080" w:right="-432"/>
        <w:rPr>
          <w:rFonts w:ascii="Cambria Math" w:hAnsi="Cambria Math"/>
          <w:b/>
        </w:rPr>
      </w:pPr>
    </w:p>
    <w:p w14:paraId="61B91DE9" w14:textId="77777777" w:rsidR="00C66282" w:rsidRPr="00C66282" w:rsidRDefault="00C66282" w:rsidP="009348BE">
      <w:pPr>
        <w:pStyle w:val="ListParagraph"/>
        <w:numPr>
          <w:ilvl w:val="1"/>
          <w:numId w:val="1"/>
        </w:numPr>
        <w:ind w:right="-432"/>
        <w:rPr>
          <w:rFonts w:ascii="Cambria Math" w:hAnsi="Cambria Math"/>
        </w:rPr>
      </w:pPr>
      <w:r>
        <w:rPr>
          <w:rFonts w:ascii="Cambria Math" w:hAnsi="Cambria Math"/>
        </w:rPr>
        <w:t xml:space="preserve">Example 3: A 24-team event with a cumulative SFM of </w:t>
      </w:r>
      <w:r w:rsidR="00C14777">
        <w:rPr>
          <w:rFonts w:ascii="Cambria Math" w:hAnsi="Cambria Math"/>
        </w:rPr>
        <w:t>4.5:</w:t>
      </w:r>
    </w:p>
    <w:p w14:paraId="15BD60F8" w14:textId="0EFDC966" w:rsidR="00C66282" w:rsidRPr="009348BE" w:rsidRDefault="009348BE" w:rsidP="009348BE">
      <w:pPr>
        <w:ind w:left="1080" w:right="-432"/>
        <w:rPr>
          <w:rFonts w:ascii="Cambria Math" w:hAnsi="Cambria Math"/>
          <w:b/>
        </w:rPr>
      </w:pPr>
      <m:oMathPara>
        <m:oMathParaPr>
          <m:jc m:val="center"/>
        </m:oMathParaPr>
        <m:oMath>
          <m:r>
            <m:rPr>
              <m:sty m:val="bi"/>
            </m:rPr>
            <w:rPr>
              <w:rFonts w:ascii="Cambria Math" w:hAnsi="Cambria Math"/>
            </w:rPr>
            <m:t>4.5*</m:t>
          </m:r>
          <m:d>
            <m:dPr>
              <m:ctrlPr>
                <w:rPr>
                  <w:rFonts w:ascii="Cambria Math" w:hAnsi="Cambria Math"/>
                  <w:b/>
                  <w:i/>
                </w:rPr>
              </m:ctrlPr>
            </m:dPr>
            <m:e>
              <m:f>
                <m:fPr>
                  <m:type m:val="skw"/>
                  <m:ctrlPr>
                    <w:rPr>
                      <w:rFonts w:ascii="Cambria Math" w:hAnsi="Cambria Math"/>
                      <w:b/>
                      <w:i/>
                    </w:rPr>
                  </m:ctrlPr>
                </m:fPr>
                <m:num>
                  <m:r>
                    <m:rPr>
                      <m:sty m:val="bi"/>
                    </m:rPr>
                    <w:rPr>
                      <w:rFonts w:ascii="Cambria Math" w:hAnsi="Cambria Math"/>
                    </w:rPr>
                    <m:t>24</m:t>
                  </m:r>
                </m:num>
                <m:den>
                  <m:r>
                    <m:rPr>
                      <m:sty m:val="bi"/>
                    </m:rPr>
                    <w:rPr>
                      <w:rFonts w:ascii="Cambria Math" w:hAnsi="Cambria Math"/>
                    </w:rPr>
                    <m:t>24</m:t>
                  </m:r>
                </m:den>
              </m:f>
            </m:e>
          </m:d>
          <m:r>
            <m:rPr>
              <m:sty m:val="bi"/>
            </m:rPr>
            <w:rPr>
              <w:rFonts w:ascii="Cambria Math" w:hAnsi="Cambria Math"/>
            </w:rPr>
            <m:t>=4.5</m:t>
          </m:r>
        </m:oMath>
      </m:oMathPara>
    </w:p>
    <w:p w14:paraId="1D3DBE19" w14:textId="77777777" w:rsidR="00C14777" w:rsidRPr="00C14777" w:rsidRDefault="00C14777" w:rsidP="009348BE">
      <w:pPr>
        <w:ind w:left="1080" w:right="-432"/>
        <w:rPr>
          <w:rFonts w:ascii="Cambria Math" w:hAnsi="Cambria Math"/>
        </w:rPr>
      </w:pPr>
    </w:p>
    <w:p w14:paraId="64B27ACE" w14:textId="77777777" w:rsidR="00C14777" w:rsidRPr="00AD7E6E" w:rsidRDefault="00C14777" w:rsidP="009348BE">
      <w:pPr>
        <w:ind w:right="-432"/>
        <w:jc w:val="both"/>
      </w:pPr>
      <w:r w:rsidRPr="00AD7E6E">
        <w:t>The amount of teams in an event will</w:t>
      </w:r>
      <w:r w:rsidR="00DF3A54" w:rsidRPr="00AD7E6E">
        <w:t xml:space="preserve"> still</w:t>
      </w:r>
      <w:r w:rsidRPr="00AD7E6E">
        <w:t xml:space="preserve"> be factored into the equation (see </w:t>
      </w:r>
      <w:r w:rsidR="00DF3A54" w:rsidRPr="00AD7E6E">
        <w:t>below</w:t>
      </w:r>
      <w:r w:rsidRPr="00AD7E6E">
        <w:t xml:space="preserve">). </w:t>
      </w:r>
      <w:r w:rsidR="00F3678C" w:rsidRPr="00AD7E6E">
        <w:t xml:space="preserve"> This scaling was </w:t>
      </w:r>
      <w:proofErr w:type="gramStart"/>
      <w:r w:rsidR="00F3678C" w:rsidRPr="00AD7E6E">
        <w:t>implemented</w:t>
      </w:r>
      <w:proofErr w:type="gramEnd"/>
      <w:r w:rsidRPr="00AD7E6E">
        <w:t xml:space="preserve"> as the strength of field at an event should be based entirely on the quality of teams </w:t>
      </w:r>
      <w:r w:rsidR="00F3678C" w:rsidRPr="00AD7E6E">
        <w:t xml:space="preserve">present. The cumulative nature </w:t>
      </w:r>
      <w:r w:rsidR="00C121DF" w:rsidRPr="00AD7E6E">
        <w:t>of the SFM reflects the number</w:t>
      </w:r>
      <w:r w:rsidR="00F3678C" w:rsidRPr="00AD7E6E">
        <w:t xml:space="preserve"> of teams present, which is w</w:t>
      </w:r>
      <w:r w:rsidR="00DF3A54" w:rsidRPr="00AD7E6E">
        <w:t>hy scaling every event’</w:t>
      </w:r>
      <w:r w:rsidR="00F3678C" w:rsidRPr="00AD7E6E">
        <w:t xml:space="preserve">s SFM to a 24-team </w:t>
      </w:r>
      <w:proofErr w:type="gramStart"/>
      <w:r w:rsidR="00F3678C" w:rsidRPr="00AD7E6E">
        <w:t>format</w:t>
      </w:r>
      <w:proofErr w:type="gramEnd"/>
      <w:r w:rsidR="00F3678C" w:rsidRPr="00AD7E6E">
        <w:t xml:space="preserve"> </w:t>
      </w:r>
      <w:r w:rsidR="00DF3A54" w:rsidRPr="00AD7E6E">
        <w:t>normalizes the</w:t>
      </w:r>
      <w:r w:rsidR="000444F5" w:rsidRPr="00AD7E6E">
        <w:t xml:space="preserve"> SFM value.</w:t>
      </w:r>
    </w:p>
    <w:p w14:paraId="7B2B5BF9" w14:textId="77777777" w:rsidR="00256BAC" w:rsidRPr="00AD7E6E" w:rsidRDefault="00256BAC" w:rsidP="009348BE">
      <w:pPr>
        <w:ind w:right="-432"/>
        <w:jc w:val="both"/>
      </w:pPr>
    </w:p>
    <w:p w14:paraId="49744DAD" w14:textId="392417C9" w:rsidR="00256BAC" w:rsidRPr="00AD7E6E" w:rsidRDefault="00256BAC" w:rsidP="009348BE">
      <w:pPr>
        <w:ind w:right="-432"/>
        <w:jc w:val="both"/>
      </w:pPr>
      <w:r w:rsidRPr="00AD7E6E">
        <w:t xml:space="preserve">For </w:t>
      </w:r>
      <w:r w:rsidR="004E1D11">
        <w:t>Tour Cashspiel</w:t>
      </w:r>
      <w:r w:rsidR="00E94B34" w:rsidRPr="00AD7E6E">
        <w:t xml:space="preserve"> events</w:t>
      </w:r>
      <w:r w:rsidR="00C23BF5">
        <w:t>,</w:t>
      </w:r>
      <w:r w:rsidR="00E94B34" w:rsidRPr="00AD7E6E">
        <w:t xml:space="preserve"> the cumulative</w:t>
      </w:r>
      <w:r w:rsidRPr="00AD7E6E">
        <w:t xml:space="preserve"> SFM </w:t>
      </w:r>
      <w:r w:rsidR="00E94B34" w:rsidRPr="00AD7E6E">
        <w:t>number does not have a limit. After scaling the SFM to the 24-team format there is a max</w:t>
      </w:r>
      <w:r w:rsidR="009348BE">
        <w:t>imum</w:t>
      </w:r>
      <w:r w:rsidR="00E94B34" w:rsidRPr="00AD7E6E">
        <w:t xml:space="preserve"> value on the scaled SFM of 5.0.</w:t>
      </w:r>
    </w:p>
    <w:p w14:paraId="2E1E13BE" w14:textId="77777777" w:rsidR="000444F5" w:rsidRPr="00AD7E6E" w:rsidRDefault="000444F5" w:rsidP="009348BE">
      <w:pPr>
        <w:ind w:left="709" w:right="-432"/>
      </w:pPr>
    </w:p>
    <w:p w14:paraId="1D314417" w14:textId="4EBECFB8" w:rsidR="00315414" w:rsidRDefault="00315414" w:rsidP="009348BE">
      <w:pPr>
        <w:pStyle w:val="ListParagraph"/>
        <w:numPr>
          <w:ilvl w:val="0"/>
          <w:numId w:val="1"/>
        </w:numPr>
        <w:ind w:right="-432"/>
        <w:jc w:val="both"/>
      </w:pPr>
      <w:r w:rsidRPr="00AD7E6E">
        <w:t>After the scaled SFM has been calculated, it will then be adjusted to reflect the numbe</w:t>
      </w:r>
      <w:r w:rsidR="004B39BE">
        <w:t>r of teams playing in an event.</w:t>
      </w:r>
    </w:p>
    <w:p w14:paraId="38B149AB" w14:textId="77777777" w:rsidR="009348BE" w:rsidRPr="00AD7E6E" w:rsidRDefault="009348BE" w:rsidP="009348BE">
      <w:pPr>
        <w:pStyle w:val="ListParagraph"/>
        <w:ind w:right="-432"/>
      </w:pPr>
    </w:p>
    <w:p w14:paraId="52E830DF" w14:textId="05C1E1E5" w:rsidR="000444F5" w:rsidRPr="00AD7E6E" w:rsidRDefault="00315414" w:rsidP="009348BE">
      <w:pPr>
        <w:pStyle w:val="ListParagraph"/>
        <w:numPr>
          <w:ilvl w:val="1"/>
          <w:numId w:val="1"/>
        </w:numPr>
        <w:ind w:right="-432"/>
        <w:jc w:val="both"/>
      </w:pPr>
      <w:r w:rsidRPr="00AD7E6E">
        <w:t xml:space="preserve">For </w:t>
      </w:r>
      <w:r w:rsidR="004E1D11">
        <w:t>Tour Cashspiel</w:t>
      </w:r>
      <w:r w:rsidRPr="00AD7E6E">
        <w:t xml:space="preserve"> events, </w:t>
      </w:r>
      <w:r w:rsidRPr="005E3EE9">
        <w:t>the minimum number of teams for CTRS inclusio</w:t>
      </w:r>
      <w:r w:rsidR="00846FF9" w:rsidRPr="005E3EE9">
        <w:t>n is 12</w:t>
      </w:r>
      <w:r w:rsidR="00AD7E6E" w:rsidRPr="005E3EE9">
        <w:t xml:space="preserve"> and 10</w:t>
      </w:r>
      <w:r w:rsidR="003409A2" w:rsidRPr="005E3EE9">
        <w:t xml:space="preserve"> (</w:t>
      </w:r>
      <w:r w:rsidR="00AD7E6E" w:rsidRPr="005E3EE9">
        <w:t>for</w:t>
      </w:r>
      <w:r w:rsidR="003409A2" w:rsidRPr="005E3EE9">
        <w:t xml:space="preserve"> men’s &amp; women’s</w:t>
      </w:r>
      <w:r w:rsidR="00AD7E6E" w:rsidRPr="005E3EE9">
        <w:t xml:space="preserve"> respectively</w:t>
      </w:r>
      <w:r w:rsidR="003409A2" w:rsidRPr="005E3EE9">
        <w:t>)</w:t>
      </w:r>
      <w:r w:rsidR="003409A2" w:rsidRPr="00AD7E6E">
        <w:t xml:space="preserve"> and this corresponds t</w:t>
      </w:r>
      <w:r w:rsidR="00846FF9" w:rsidRPr="00AD7E6E">
        <w:t xml:space="preserve">o a </w:t>
      </w:r>
      <w:r w:rsidR="00AD7E6E">
        <w:t xml:space="preserve">minimum </w:t>
      </w:r>
      <w:r w:rsidR="00846FF9" w:rsidRPr="00AD7E6E">
        <w:t>factor of 0.875</w:t>
      </w:r>
      <w:r w:rsidR="00AD7E6E">
        <w:t xml:space="preserve"> and 0.813 respectively</w:t>
      </w:r>
      <w:r w:rsidR="003409A2" w:rsidRPr="00AD7E6E">
        <w:t>. The adjusting factor maxes out in an event with 32 teams, at a maximum value of 1.5. For events in-between this range, the following formula will determine the factor where n represents the number of teams playing:</w:t>
      </w:r>
    </w:p>
    <w:p w14:paraId="772A13F7" w14:textId="77777777" w:rsidR="003409A2" w:rsidRPr="003409A2" w:rsidRDefault="003409A2" w:rsidP="009348BE">
      <w:pPr>
        <w:pStyle w:val="ListParagraph"/>
        <w:ind w:left="1440" w:right="-432"/>
        <w:rPr>
          <w:rFonts w:ascii="Cambria Math" w:hAnsi="Cambria Math"/>
        </w:rPr>
      </w:pPr>
    </w:p>
    <w:p w14:paraId="7C794B0C" w14:textId="390636E4" w:rsidR="003409A2" w:rsidRPr="009348BE" w:rsidRDefault="009348BE" w:rsidP="009348BE">
      <w:pPr>
        <w:pStyle w:val="ListParagraph"/>
        <w:ind w:left="1440" w:right="-432"/>
        <w:rPr>
          <w:rFonts w:ascii="Cambria Math" w:hAnsi="Cambria Math"/>
          <w:b/>
        </w:rPr>
      </w:pPr>
      <m:oMathPara>
        <m:oMath>
          <m:r>
            <m:rPr>
              <m:sty m:val="bi"/>
            </m:rPr>
            <w:rPr>
              <w:rFonts w:ascii="Cambria Math" w:hAnsi="Cambria Math"/>
            </w:rPr>
            <m:t>1+</m:t>
          </m:r>
          <m:d>
            <m:dPr>
              <m:ctrlPr>
                <w:rPr>
                  <w:rFonts w:ascii="Cambria Math" w:hAnsi="Cambria Math"/>
                  <w:b/>
                  <w:i/>
                </w:rPr>
              </m:ctrlPr>
            </m:dPr>
            <m:e>
              <m:r>
                <m:rPr>
                  <m:sty m:val="bi"/>
                </m:rPr>
                <w:rPr>
                  <w:rFonts w:ascii="Cambria Math" w:hAnsi="Cambria Math"/>
                </w:rPr>
                <m:t>n-16</m:t>
              </m:r>
            </m:e>
          </m:d>
          <m:r>
            <m:rPr>
              <m:sty m:val="bi"/>
            </m:rPr>
            <w:rPr>
              <w:rFonts w:ascii="Cambria Math" w:hAnsi="Cambria Math"/>
            </w:rPr>
            <m:t>*0.03125</m:t>
          </m:r>
        </m:oMath>
      </m:oMathPara>
    </w:p>
    <w:p w14:paraId="6028B0AE" w14:textId="77777777" w:rsidR="003409A2" w:rsidRPr="003409A2" w:rsidRDefault="003409A2" w:rsidP="009348BE">
      <w:pPr>
        <w:pStyle w:val="ListParagraph"/>
        <w:ind w:left="1440" w:right="-432"/>
        <w:rPr>
          <w:rFonts w:ascii="Cambria Math" w:hAnsi="Cambria Math"/>
        </w:rPr>
      </w:pPr>
    </w:p>
    <w:p w14:paraId="3D75C4C9" w14:textId="77777777" w:rsidR="009348BE" w:rsidRDefault="007C158C" w:rsidP="009348BE">
      <w:pPr>
        <w:pStyle w:val="ListParagraph"/>
        <w:numPr>
          <w:ilvl w:val="1"/>
          <w:numId w:val="1"/>
        </w:numPr>
        <w:ind w:right="-432"/>
        <w:jc w:val="both"/>
      </w:pPr>
      <w:r w:rsidRPr="005E3EE9">
        <w:t xml:space="preserve">The </w:t>
      </w:r>
      <w:proofErr w:type="spellStart"/>
      <w:r w:rsidRPr="005E3EE9">
        <w:t>Playdown</w:t>
      </w:r>
      <w:r w:rsidR="009348BE">
        <w:t>s</w:t>
      </w:r>
      <w:proofErr w:type="spellEnd"/>
      <w:r w:rsidRPr="005E3EE9">
        <w:t xml:space="preserve">/Special events category will </w:t>
      </w:r>
      <w:r w:rsidR="00C23BF5" w:rsidRPr="005E3EE9">
        <w:t>calculate</w:t>
      </w:r>
      <w:r w:rsidRPr="005E3EE9">
        <w:t xml:space="preserve"> this team factor slightly differently for both </w:t>
      </w:r>
      <w:proofErr w:type="spellStart"/>
      <w:r w:rsidRPr="005E3EE9">
        <w:t>Playdown</w:t>
      </w:r>
      <w:r w:rsidR="009348BE">
        <w:t>s</w:t>
      </w:r>
      <w:proofErr w:type="spellEnd"/>
      <w:r w:rsidRPr="005E3EE9">
        <w:t xml:space="preserve"> and Special Events.</w:t>
      </w:r>
      <w:r w:rsidR="009348BE">
        <w:t xml:space="preserve">  </w:t>
      </w:r>
    </w:p>
    <w:p w14:paraId="3445EB1C" w14:textId="77777777" w:rsidR="009348BE" w:rsidRDefault="009348BE" w:rsidP="009348BE">
      <w:pPr>
        <w:pStyle w:val="ListParagraph"/>
        <w:ind w:left="1440" w:right="-432"/>
        <w:jc w:val="both"/>
      </w:pPr>
    </w:p>
    <w:p w14:paraId="14CD8969" w14:textId="2627F321" w:rsidR="007C158C" w:rsidRPr="005E3EE9" w:rsidRDefault="007C158C" w:rsidP="009348BE">
      <w:pPr>
        <w:pStyle w:val="ListParagraph"/>
        <w:numPr>
          <w:ilvl w:val="2"/>
          <w:numId w:val="1"/>
        </w:numPr>
        <w:ind w:right="-432"/>
        <w:jc w:val="both"/>
      </w:pPr>
      <w:r w:rsidRPr="005E3EE9">
        <w:t>For all Playdown events: Pre-provincial qualification, Provincials</w:t>
      </w:r>
      <w:r w:rsidR="009348BE">
        <w:t>/Territorials</w:t>
      </w:r>
      <w:r w:rsidRPr="005E3EE9">
        <w:t>, Nationals and Worlds, there is no minimum number of teams to qualify for CTRS/OOM inclusion. Events with 10 or more teams will use the factor described above (1+(n-16)*0.03125). Events with less than 10 teams will use a more discounted formula:</w:t>
      </w:r>
    </w:p>
    <w:p w14:paraId="325B16B8" w14:textId="77777777" w:rsidR="007C158C" w:rsidRPr="005E3EE9" w:rsidRDefault="007C158C" w:rsidP="009348BE">
      <w:pPr>
        <w:pStyle w:val="ListParagraph"/>
        <w:ind w:left="2160" w:right="-432"/>
      </w:pPr>
    </w:p>
    <w:p w14:paraId="76BAD1F7" w14:textId="20B6F5D5" w:rsidR="007C158C" w:rsidRPr="009348BE" w:rsidRDefault="009348BE" w:rsidP="009348BE">
      <w:pPr>
        <w:pStyle w:val="ListParagraph"/>
        <w:ind w:left="2160" w:right="-432"/>
        <w:rPr>
          <w:b/>
        </w:rPr>
      </w:pPr>
      <m:oMathPara>
        <m:oMath>
          <m:f>
            <m:fPr>
              <m:ctrlPr>
                <w:rPr>
                  <w:rFonts w:ascii="Cambria Math" w:hAnsi="Cambria Math"/>
                  <w:b/>
                  <w:i/>
                </w:rPr>
              </m:ctrlPr>
            </m:fPr>
            <m:num>
              <m:r>
                <m:rPr>
                  <m:sty m:val="bi"/>
                </m:rPr>
                <w:rPr>
                  <w:rFonts w:ascii="Cambria Math" w:hAnsi="Cambria Math"/>
                </w:rPr>
                <m:t>n</m:t>
              </m:r>
            </m:num>
            <m:den>
              <m:r>
                <m:rPr>
                  <m:sty m:val="bi"/>
                </m:rPr>
                <w:rPr>
                  <w:rFonts w:ascii="Cambria Math" w:hAnsi="Cambria Math"/>
                </w:rPr>
                <m:t>16</m:t>
              </m:r>
            </m:den>
          </m:f>
        </m:oMath>
      </m:oMathPara>
    </w:p>
    <w:p w14:paraId="6B8352EE" w14:textId="77777777" w:rsidR="007C158C" w:rsidRPr="005E3EE9" w:rsidRDefault="007C158C" w:rsidP="009348BE">
      <w:pPr>
        <w:pStyle w:val="ListParagraph"/>
        <w:ind w:left="2160" w:right="-432"/>
      </w:pPr>
    </w:p>
    <w:p w14:paraId="30112C9D" w14:textId="77777777" w:rsidR="009348BE" w:rsidRDefault="007C158C" w:rsidP="009348BE">
      <w:pPr>
        <w:pStyle w:val="ListParagraph"/>
        <w:numPr>
          <w:ilvl w:val="2"/>
          <w:numId w:val="1"/>
        </w:numPr>
        <w:ind w:right="-432"/>
        <w:jc w:val="both"/>
      </w:pPr>
      <w:r w:rsidRPr="005E3EE9">
        <w:t>For all of the Special events: Olympic Trials</w:t>
      </w:r>
      <w:r w:rsidR="002527D7" w:rsidRPr="005E3EE9">
        <w:t>/Qualification</w:t>
      </w:r>
      <w:r w:rsidRPr="005E3EE9">
        <w:t xml:space="preserve">, Olympics, the 4 GSOC Slams, </w:t>
      </w:r>
      <w:r w:rsidR="002527D7" w:rsidRPr="005E3EE9">
        <w:t xml:space="preserve">Sanctioned Federation Events (Canada Cup, Europeans, etc.) there will be a minimum team limit of 6 to qualify for CTRS/OOM inclusion. </w:t>
      </w:r>
    </w:p>
    <w:p w14:paraId="6E21110B" w14:textId="1DE9590E" w:rsidR="002527D7" w:rsidRPr="005E3EE9" w:rsidRDefault="002527D7" w:rsidP="009348BE">
      <w:pPr>
        <w:pStyle w:val="ListParagraph"/>
        <w:numPr>
          <w:ilvl w:val="2"/>
          <w:numId w:val="1"/>
        </w:numPr>
        <w:ind w:right="-432"/>
        <w:jc w:val="both"/>
      </w:pPr>
      <w:r w:rsidRPr="005E3EE9">
        <w:t xml:space="preserve">National/International Federations will be allowed to sanction 1 event per season in this category. This event </w:t>
      </w:r>
      <w:proofErr w:type="gramStart"/>
      <w:r w:rsidRPr="005E3EE9">
        <w:t>must</w:t>
      </w:r>
      <w:proofErr w:type="gramEnd"/>
      <w:r w:rsidRPr="005E3EE9">
        <w:t xml:space="preserve"> be used to either internally rank teams</w:t>
      </w:r>
      <w:r w:rsidR="006E6B05" w:rsidRPr="005E3EE9">
        <w:t xml:space="preserve"> in a region,</w:t>
      </w:r>
      <w:r w:rsidRPr="005E3EE9">
        <w:t xml:space="preserve"> or towards Olympic </w:t>
      </w:r>
      <w:r w:rsidR="004D0FAB" w:rsidRPr="005E3EE9">
        <w:t>qualification.</w:t>
      </w:r>
    </w:p>
    <w:p w14:paraId="24B0D6A4" w14:textId="77777777" w:rsidR="004D0FAB" w:rsidRDefault="004D0FAB" w:rsidP="009348BE">
      <w:pPr>
        <w:pStyle w:val="ListParagraph"/>
        <w:ind w:left="2160" w:right="-432"/>
        <w:jc w:val="both"/>
      </w:pPr>
      <w:r w:rsidRPr="005E3EE9">
        <w:t xml:space="preserve">These special events will use the general team factor equation (1+(n-16)*0.03125) for all events, excluding the Sanction Federation events where the discounted formula (n/16) will be implemented for events with less than 10 teams that do not have at least 50% of the field in the OOM Top20.  </w:t>
      </w:r>
    </w:p>
    <w:p w14:paraId="1C0A35A5" w14:textId="77777777" w:rsidR="009348BE" w:rsidRPr="005E3EE9" w:rsidRDefault="009348BE" w:rsidP="009348BE">
      <w:pPr>
        <w:pStyle w:val="ListParagraph"/>
        <w:ind w:left="2160" w:right="-432"/>
        <w:jc w:val="both"/>
      </w:pPr>
    </w:p>
    <w:p w14:paraId="3F9C6CB7" w14:textId="33897C9D" w:rsidR="004D0FAB" w:rsidRPr="005E3EE9" w:rsidRDefault="009348BE" w:rsidP="009348BE">
      <w:pPr>
        <w:pStyle w:val="ListParagraph"/>
        <w:numPr>
          <w:ilvl w:val="2"/>
          <w:numId w:val="1"/>
        </w:numPr>
        <w:ind w:right="-432"/>
        <w:jc w:val="both"/>
      </w:pPr>
      <w:r>
        <w:t>For example: t</w:t>
      </w:r>
      <w:r w:rsidR="004D0FAB" w:rsidRPr="005E3EE9">
        <w:t>he Canada Cup is a C</w:t>
      </w:r>
      <w:r>
        <w:t xml:space="preserve">urling </w:t>
      </w:r>
      <w:r w:rsidR="004D0FAB" w:rsidRPr="005E3EE9">
        <w:t>C</w:t>
      </w:r>
      <w:r>
        <w:t>anada</w:t>
      </w:r>
      <w:r w:rsidR="004D0FAB" w:rsidRPr="005E3EE9">
        <w:t>-sanctioned event used for Olympic qualification so it fits under this rule. The event currently runs with fewer than 10 teams</w:t>
      </w:r>
      <w:r w:rsidR="002D462A" w:rsidRPr="005E3EE9">
        <w:t xml:space="preserve"> (at 7 right now)</w:t>
      </w:r>
      <w:r w:rsidR="004D0FAB" w:rsidRPr="005E3EE9">
        <w:t>, but given more than half of the field is Top</w:t>
      </w:r>
      <w:r>
        <w:t xml:space="preserve"> </w:t>
      </w:r>
      <w:r w:rsidR="004D0FAB" w:rsidRPr="005E3EE9">
        <w:t>20 or higher, the usual (and more generous) equation is used (1</w:t>
      </w:r>
      <w:r w:rsidR="002D462A" w:rsidRPr="005E3EE9">
        <w:t>+(7-16)*0.03125 = 0.719)</w:t>
      </w:r>
      <w:r w:rsidR="004D0FAB" w:rsidRPr="005E3EE9">
        <w:t xml:space="preserve">. If another federation wants to create a similar event in this category but does </w:t>
      </w:r>
      <w:r w:rsidR="002D462A" w:rsidRPr="005E3EE9">
        <w:t>not have half the field Top</w:t>
      </w:r>
      <w:r>
        <w:t xml:space="preserve"> </w:t>
      </w:r>
      <w:r w:rsidR="002D462A" w:rsidRPr="005E3EE9">
        <w:t>20 or higher</w:t>
      </w:r>
      <w:r>
        <w:t>,</w:t>
      </w:r>
      <w:r w:rsidR="002D462A" w:rsidRPr="005E3EE9">
        <w:t xml:space="preserve"> they will use the discounted formula (7/16 = 0.438). The Europeans will use the more general formula in all cases given it meets the minimum 10 teams qualifier.</w:t>
      </w:r>
    </w:p>
    <w:p w14:paraId="4FB680C3" w14:textId="77777777" w:rsidR="00CE0F83" w:rsidRPr="002D462A" w:rsidRDefault="00CE0F83" w:rsidP="009348BE">
      <w:pPr>
        <w:ind w:right="-432"/>
        <w:rPr>
          <w:rFonts w:ascii="Cambria Math" w:hAnsi="Cambria Math"/>
        </w:rPr>
      </w:pPr>
    </w:p>
    <w:p w14:paraId="4F97C9C6" w14:textId="3C7E6A1A" w:rsidR="00CE0F83" w:rsidRPr="001951A5" w:rsidRDefault="00CE0F83" w:rsidP="009348BE">
      <w:pPr>
        <w:pStyle w:val="ListParagraph"/>
        <w:numPr>
          <w:ilvl w:val="0"/>
          <w:numId w:val="1"/>
        </w:numPr>
        <w:ind w:right="-432"/>
        <w:jc w:val="both"/>
        <w:rPr>
          <w:rFonts w:ascii="Cambria Math" w:hAnsi="Cambria Math"/>
        </w:rPr>
      </w:pPr>
      <w:r>
        <w:rPr>
          <w:rFonts w:ascii="Cambria Math" w:hAnsi="Cambria Math"/>
        </w:rPr>
        <w:t xml:space="preserve">Lastly, for all </w:t>
      </w:r>
      <w:r w:rsidR="004E1D11">
        <w:rPr>
          <w:rFonts w:ascii="Cambria Math" w:hAnsi="Cambria Math"/>
        </w:rPr>
        <w:t>Tour Cashspiel</w:t>
      </w:r>
      <w:r>
        <w:rPr>
          <w:rFonts w:ascii="Cambria Math" w:hAnsi="Cambria Math"/>
        </w:rPr>
        <w:t xml:space="preserve"> events there will be a second factor that reflects the size of cash purse available to the players. </w:t>
      </w:r>
      <w:r w:rsidR="001951A5">
        <w:rPr>
          <w:rFonts w:ascii="Cambria Math" w:hAnsi="Cambria Math"/>
        </w:rPr>
        <w:t xml:space="preserve"> The minimum purse requ</w:t>
      </w:r>
      <w:r w:rsidR="00846FF9">
        <w:rPr>
          <w:rFonts w:ascii="Cambria Math" w:hAnsi="Cambria Math"/>
        </w:rPr>
        <w:t xml:space="preserve">irement for CTRS inclusion </w:t>
      </w:r>
      <w:r w:rsidR="00846FF9" w:rsidRPr="005E3EE9">
        <w:rPr>
          <w:rFonts w:ascii="Cambria Math" w:hAnsi="Cambria Math"/>
        </w:rPr>
        <w:t xml:space="preserve">is </w:t>
      </w:r>
      <w:r w:rsidR="00846FF9" w:rsidRPr="005E3EE9">
        <w:t>$3</w:t>
      </w:r>
      <w:r w:rsidR="001951A5" w:rsidRPr="005E3EE9">
        <w:t>00/team playing</w:t>
      </w:r>
      <w:r w:rsidR="001951A5" w:rsidRPr="005E3EE9">
        <w:rPr>
          <w:rFonts w:ascii="Cambria Math" w:hAnsi="Cambria Math"/>
        </w:rPr>
        <w:t xml:space="preserve"> (i</w:t>
      </w:r>
      <w:r w:rsidR="009348BE">
        <w:rPr>
          <w:rFonts w:ascii="Cambria Math" w:hAnsi="Cambria Math"/>
        </w:rPr>
        <w:t>.</w:t>
      </w:r>
      <w:r w:rsidR="001951A5" w:rsidRPr="005E3EE9">
        <w:rPr>
          <w:rFonts w:ascii="Cambria Math" w:hAnsi="Cambria Math"/>
        </w:rPr>
        <w:t>e.</w:t>
      </w:r>
      <w:r w:rsidR="001951A5">
        <w:rPr>
          <w:rFonts w:ascii="Cambria Math" w:hAnsi="Cambria Math"/>
        </w:rPr>
        <w:t xml:space="preserve"> a 24-</w:t>
      </w:r>
      <w:r w:rsidR="00846FF9">
        <w:rPr>
          <w:rFonts w:ascii="Cambria Math" w:hAnsi="Cambria Math"/>
        </w:rPr>
        <w:t>team event must have at least</w:t>
      </w:r>
      <w:r w:rsidR="00BE63C7">
        <w:rPr>
          <w:rFonts w:ascii="Cambria Math" w:hAnsi="Cambria Math"/>
        </w:rPr>
        <w:t xml:space="preserve"> $7,</w:t>
      </w:r>
      <w:r w:rsidR="00846FF9">
        <w:rPr>
          <w:rFonts w:ascii="Cambria Math" w:hAnsi="Cambria Math"/>
        </w:rPr>
        <w:t>2</w:t>
      </w:r>
      <w:r w:rsidR="001951A5">
        <w:rPr>
          <w:rFonts w:ascii="Cambria Math" w:hAnsi="Cambria Math"/>
        </w:rPr>
        <w:t xml:space="preserve">00 total purse). This purse </w:t>
      </w:r>
      <w:r w:rsidR="00846FF9">
        <w:rPr>
          <w:rFonts w:ascii="Cambria Math" w:hAnsi="Cambria Math"/>
        </w:rPr>
        <w:t>factor will range in-between 0.96 to 1.25 where the minimum ($3</w:t>
      </w:r>
      <w:r w:rsidR="00BE63C7">
        <w:rPr>
          <w:rFonts w:ascii="Cambria Math" w:hAnsi="Cambria Math"/>
        </w:rPr>
        <w:t>00/team) represents the 0.96</w:t>
      </w:r>
      <w:r w:rsidR="001951A5">
        <w:rPr>
          <w:rFonts w:ascii="Cambria Math" w:hAnsi="Cambria Math"/>
        </w:rPr>
        <w:t xml:space="preserve"> </w:t>
      </w:r>
      <w:proofErr w:type="gramStart"/>
      <w:r w:rsidR="001951A5">
        <w:rPr>
          <w:rFonts w:ascii="Cambria Math" w:hAnsi="Cambria Math"/>
        </w:rPr>
        <w:t>factor</w:t>
      </w:r>
      <w:proofErr w:type="gramEnd"/>
      <w:r w:rsidR="001951A5">
        <w:rPr>
          <w:rFonts w:ascii="Cambria Math" w:hAnsi="Cambria Math"/>
        </w:rPr>
        <w:t>, and the maximum ($2000+/team) represents the 1.25 factor. For purse’s in-between this range, the following formula will determine the fac</w:t>
      </w:r>
      <w:r w:rsidR="00831320">
        <w:rPr>
          <w:rFonts w:ascii="Cambria Math" w:hAnsi="Cambria Math"/>
        </w:rPr>
        <w:t>tor where p represents the</w:t>
      </w:r>
      <w:r w:rsidR="001951A5">
        <w:rPr>
          <w:rFonts w:ascii="Cambria Math" w:hAnsi="Cambria Math"/>
        </w:rPr>
        <w:t xml:space="preserve"> purse value</w:t>
      </w:r>
      <w:r w:rsidR="00831320">
        <w:rPr>
          <w:rFonts w:ascii="Cambria Math" w:hAnsi="Cambria Math"/>
        </w:rPr>
        <w:t xml:space="preserve"> divided by the number of teams</w:t>
      </w:r>
      <w:r w:rsidR="001951A5">
        <w:rPr>
          <w:rFonts w:ascii="Cambria Math" w:hAnsi="Cambria Math"/>
        </w:rPr>
        <w:t>:</w:t>
      </w:r>
    </w:p>
    <w:p w14:paraId="582E0738" w14:textId="77777777" w:rsidR="001951A5" w:rsidRPr="001951A5" w:rsidRDefault="001951A5" w:rsidP="009348BE">
      <w:pPr>
        <w:pStyle w:val="ListParagraph"/>
        <w:ind w:right="-432"/>
        <w:rPr>
          <w:rFonts w:ascii="Cambria Math" w:hAnsi="Cambria Math"/>
        </w:rPr>
      </w:pPr>
    </w:p>
    <w:p w14:paraId="7A894CBF" w14:textId="49492AD8" w:rsidR="001951A5" w:rsidRPr="009348BE" w:rsidRDefault="009348BE" w:rsidP="009348BE">
      <w:pPr>
        <w:pStyle w:val="ListParagraph"/>
        <w:ind w:right="-432"/>
        <w:rPr>
          <w:rFonts w:ascii="Cambria Math" w:hAnsi="Cambria Math"/>
          <w:b/>
        </w:rPr>
      </w:pPr>
      <m:oMathPara>
        <m:oMathParaPr>
          <m:jc m:val="center"/>
        </m:oMathParaPr>
        <m:oMath>
          <m:r>
            <m:rPr>
              <m:sty m:val="bi"/>
            </m:rPr>
            <w:rPr>
              <w:rFonts w:ascii="Cambria Math" w:hAnsi="Cambria Math"/>
            </w:rPr>
            <m:t>1+</m:t>
          </m:r>
          <m:d>
            <m:dPr>
              <m:ctrlPr>
                <w:rPr>
                  <w:rFonts w:ascii="Cambria Math" w:hAnsi="Cambria Math"/>
                  <w:b/>
                  <w:i/>
                </w:rPr>
              </m:ctrlPr>
            </m:dPr>
            <m:e>
              <m:r>
                <m:rPr>
                  <m:sty m:val="bi"/>
                </m:rPr>
                <w:rPr>
                  <w:rFonts w:ascii="Cambria Math" w:hAnsi="Cambria Math"/>
                </w:rPr>
                <m:t>p-500</m:t>
              </m:r>
            </m:e>
          </m:d>
          <m:r>
            <m:rPr>
              <m:sty m:val="bi"/>
            </m:rPr>
            <w:rPr>
              <w:rFonts w:ascii="Cambria Math" w:hAnsi="Cambria Math"/>
            </w:rPr>
            <m:t>*0.00017</m:t>
          </m:r>
        </m:oMath>
      </m:oMathPara>
    </w:p>
    <w:p w14:paraId="10E7A2BC" w14:textId="77777777" w:rsidR="00F6778C" w:rsidRPr="001951A5" w:rsidRDefault="00F6778C" w:rsidP="009348BE">
      <w:pPr>
        <w:pStyle w:val="ListParagraph"/>
        <w:ind w:right="-432"/>
        <w:rPr>
          <w:rFonts w:ascii="Cambria Math" w:hAnsi="Cambria Math"/>
        </w:rPr>
      </w:pPr>
    </w:p>
    <w:p w14:paraId="5F35DE01" w14:textId="3A539E20" w:rsidR="001951A5" w:rsidRDefault="001951A5" w:rsidP="009348BE">
      <w:pPr>
        <w:pStyle w:val="ListParagraph"/>
        <w:ind w:right="-432"/>
        <w:jc w:val="both"/>
        <w:rPr>
          <w:rFonts w:ascii="Cambria Math" w:hAnsi="Cambria Math"/>
        </w:rPr>
      </w:pPr>
      <w:r>
        <w:rPr>
          <w:rFonts w:ascii="Cambria Math" w:hAnsi="Cambria Math"/>
        </w:rPr>
        <w:t xml:space="preserve">This means that a 32-team event will maximize the purse factor with a total purse of $64 000, and a 16-team event will maximize the purse factor with a total purse of $32 000. </w:t>
      </w:r>
      <w:r w:rsidR="00831320">
        <w:rPr>
          <w:rFonts w:ascii="Cambria Math" w:hAnsi="Cambria Math"/>
        </w:rPr>
        <w:t>See below for a list of tabulated values:</w:t>
      </w:r>
    </w:p>
    <w:p w14:paraId="5F7583F1" w14:textId="77777777" w:rsidR="00831320" w:rsidRDefault="00831320" w:rsidP="009348BE">
      <w:pPr>
        <w:pStyle w:val="ListParagraph"/>
        <w:ind w:right="-432"/>
        <w:rPr>
          <w:rFonts w:ascii="Cambria Math" w:hAnsi="Cambria Math"/>
        </w:rPr>
      </w:pPr>
    </w:p>
    <w:tbl>
      <w:tblPr>
        <w:tblStyle w:val="TableGrid"/>
        <w:tblW w:w="0" w:type="auto"/>
        <w:jc w:val="center"/>
        <w:tblInd w:w="464" w:type="dxa"/>
        <w:tblBorders>
          <w:insideH w:val="none" w:sz="0" w:space="0" w:color="auto"/>
          <w:insideV w:val="none" w:sz="0" w:space="0" w:color="auto"/>
        </w:tblBorders>
        <w:tblLook w:val="04A0" w:firstRow="1" w:lastRow="0" w:firstColumn="1" w:lastColumn="0" w:noHBand="0" w:noVBand="1"/>
      </w:tblPr>
      <w:tblGrid>
        <w:gridCol w:w="2621"/>
        <w:gridCol w:w="1302"/>
      </w:tblGrid>
      <w:tr w:rsidR="00831320" w14:paraId="319C67BC" w14:textId="77777777" w:rsidTr="009348BE">
        <w:trPr>
          <w:jc w:val="center"/>
        </w:trPr>
        <w:tc>
          <w:tcPr>
            <w:tcW w:w="2621" w:type="dxa"/>
            <w:tcBorders>
              <w:top w:val="single" w:sz="4" w:space="0" w:color="auto"/>
              <w:bottom w:val="single" w:sz="4" w:space="0" w:color="auto"/>
              <w:right w:val="single" w:sz="4" w:space="0" w:color="auto"/>
            </w:tcBorders>
          </w:tcPr>
          <w:p w14:paraId="0166DE09" w14:textId="1D9D8E7D" w:rsidR="00831320" w:rsidRPr="009348BE" w:rsidRDefault="00831320" w:rsidP="009348BE">
            <w:pPr>
              <w:pStyle w:val="ListParagraph"/>
              <w:ind w:left="0" w:right="-432"/>
              <w:rPr>
                <w:rFonts w:ascii="Cambria Math" w:hAnsi="Cambria Math"/>
                <w:b/>
              </w:rPr>
            </w:pPr>
            <w:r w:rsidRPr="009348BE">
              <w:rPr>
                <w:rFonts w:ascii="Cambria Math" w:hAnsi="Cambria Math"/>
                <w:b/>
              </w:rPr>
              <w:t>Purse Size per Team</w:t>
            </w:r>
          </w:p>
        </w:tc>
        <w:tc>
          <w:tcPr>
            <w:tcW w:w="1302" w:type="dxa"/>
            <w:tcBorders>
              <w:top w:val="single" w:sz="4" w:space="0" w:color="auto"/>
              <w:left w:val="single" w:sz="4" w:space="0" w:color="auto"/>
              <w:bottom w:val="single" w:sz="4" w:space="0" w:color="auto"/>
            </w:tcBorders>
          </w:tcPr>
          <w:p w14:paraId="6260AB67" w14:textId="407023C2" w:rsidR="00831320" w:rsidRPr="009348BE" w:rsidRDefault="00831320" w:rsidP="009348BE">
            <w:pPr>
              <w:pStyle w:val="ListParagraph"/>
              <w:ind w:left="0" w:right="-432"/>
              <w:jc w:val="center"/>
              <w:rPr>
                <w:rFonts w:ascii="Cambria Math" w:hAnsi="Cambria Math"/>
                <w:b/>
              </w:rPr>
            </w:pPr>
            <w:r w:rsidRPr="009348BE">
              <w:rPr>
                <w:rFonts w:ascii="Cambria Math" w:hAnsi="Cambria Math"/>
                <w:b/>
              </w:rPr>
              <w:t>Factor</w:t>
            </w:r>
          </w:p>
        </w:tc>
      </w:tr>
      <w:tr w:rsidR="00C23BF5" w14:paraId="6F751738" w14:textId="77777777" w:rsidTr="009348BE">
        <w:trPr>
          <w:jc w:val="center"/>
        </w:trPr>
        <w:tc>
          <w:tcPr>
            <w:tcW w:w="2621" w:type="dxa"/>
            <w:tcBorders>
              <w:top w:val="single" w:sz="4" w:space="0" w:color="auto"/>
              <w:bottom w:val="nil"/>
              <w:right w:val="single" w:sz="4" w:space="0" w:color="auto"/>
            </w:tcBorders>
          </w:tcPr>
          <w:p w14:paraId="6566EEF1" w14:textId="7A08BB0C" w:rsidR="00C23BF5" w:rsidRPr="009348BE" w:rsidRDefault="00C23BF5" w:rsidP="009348BE">
            <w:pPr>
              <w:pStyle w:val="ListParagraph"/>
              <w:ind w:left="0" w:right="-432"/>
              <w:rPr>
                <w:rFonts w:ascii="Cambria Math" w:hAnsi="Cambria Math"/>
              </w:rPr>
            </w:pPr>
            <w:r w:rsidRPr="009348BE">
              <w:rPr>
                <w:rFonts w:ascii="Cambria Math" w:hAnsi="Cambria Math"/>
              </w:rPr>
              <w:t>$300</w:t>
            </w:r>
          </w:p>
        </w:tc>
        <w:tc>
          <w:tcPr>
            <w:tcW w:w="1302" w:type="dxa"/>
            <w:tcBorders>
              <w:top w:val="single" w:sz="4" w:space="0" w:color="auto"/>
              <w:left w:val="single" w:sz="4" w:space="0" w:color="auto"/>
              <w:bottom w:val="nil"/>
            </w:tcBorders>
          </w:tcPr>
          <w:p w14:paraId="38E97688" w14:textId="16FD7358" w:rsidR="00C23BF5" w:rsidRPr="009348BE" w:rsidRDefault="00C23BF5" w:rsidP="009348BE">
            <w:pPr>
              <w:pStyle w:val="ListParagraph"/>
              <w:ind w:left="0" w:right="-432"/>
              <w:jc w:val="center"/>
              <w:rPr>
                <w:rFonts w:ascii="Cambria Math" w:hAnsi="Cambria Math"/>
              </w:rPr>
            </w:pPr>
            <w:r w:rsidRPr="009348BE">
              <w:rPr>
                <w:rFonts w:ascii="Cambria Math" w:hAnsi="Cambria Math"/>
              </w:rPr>
              <w:t>0.96</w:t>
            </w:r>
            <w:r w:rsidR="009348BE" w:rsidRPr="009348BE">
              <w:rPr>
                <w:rFonts w:ascii="Cambria Math" w:hAnsi="Cambria Math"/>
              </w:rPr>
              <w:t>0</w:t>
            </w:r>
          </w:p>
        </w:tc>
      </w:tr>
      <w:tr w:rsidR="00831320" w14:paraId="5713ECBD" w14:textId="77777777" w:rsidTr="009348BE">
        <w:trPr>
          <w:jc w:val="center"/>
        </w:trPr>
        <w:tc>
          <w:tcPr>
            <w:tcW w:w="2621" w:type="dxa"/>
            <w:tcBorders>
              <w:top w:val="nil"/>
              <w:right w:val="single" w:sz="4" w:space="0" w:color="auto"/>
            </w:tcBorders>
          </w:tcPr>
          <w:p w14:paraId="58446A04" w14:textId="2F13650F" w:rsidR="00831320" w:rsidRPr="009348BE" w:rsidRDefault="00831320" w:rsidP="009348BE">
            <w:pPr>
              <w:pStyle w:val="ListParagraph"/>
              <w:ind w:left="0" w:right="-432"/>
              <w:rPr>
                <w:rFonts w:ascii="Cambria Math" w:hAnsi="Cambria Math"/>
              </w:rPr>
            </w:pPr>
            <w:r w:rsidRPr="009348BE">
              <w:rPr>
                <w:rFonts w:ascii="Cambria Math" w:hAnsi="Cambria Math"/>
              </w:rPr>
              <w:t>$500</w:t>
            </w:r>
          </w:p>
        </w:tc>
        <w:tc>
          <w:tcPr>
            <w:tcW w:w="1302" w:type="dxa"/>
            <w:tcBorders>
              <w:top w:val="nil"/>
              <w:left w:val="single" w:sz="4" w:space="0" w:color="auto"/>
            </w:tcBorders>
          </w:tcPr>
          <w:p w14:paraId="53A409AC" w14:textId="143EA667" w:rsidR="00831320" w:rsidRPr="009348BE" w:rsidRDefault="00831320" w:rsidP="009348BE">
            <w:pPr>
              <w:pStyle w:val="ListParagraph"/>
              <w:ind w:left="0" w:right="-432"/>
              <w:jc w:val="center"/>
              <w:rPr>
                <w:rFonts w:ascii="Cambria Math" w:hAnsi="Cambria Math"/>
              </w:rPr>
            </w:pPr>
            <w:r w:rsidRPr="009348BE">
              <w:rPr>
                <w:rFonts w:ascii="Cambria Math" w:hAnsi="Cambria Math"/>
              </w:rPr>
              <w:t>1.0</w:t>
            </w:r>
            <w:r w:rsidR="009348BE" w:rsidRPr="009348BE">
              <w:rPr>
                <w:rFonts w:ascii="Cambria Math" w:hAnsi="Cambria Math"/>
              </w:rPr>
              <w:t>00</w:t>
            </w:r>
          </w:p>
        </w:tc>
      </w:tr>
      <w:tr w:rsidR="00831320" w14:paraId="42A5924C" w14:textId="77777777" w:rsidTr="009348BE">
        <w:trPr>
          <w:jc w:val="center"/>
        </w:trPr>
        <w:tc>
          <w:tcPr>
            <w:tcW w:w="2621" w:type="dxa"/>
            <w:tcBorders>
              <w:right w:val="single" w:sz="4" w:space="0" w:color="auto"/>
            </w:tcBorders>
          </w:tcPr>
          <w:p w14:paraId="326E0606" w14:textId="1618BF94" w:rsidR="00831320" w:rsidRPr="009348BE" w:rsidRDefault="00831320" w:rsidP="009348BE">
            <w:pPr>
              <w:pStyle w:val="ListParagraph"/>
              <w:ind w:left="0" w:right="-432"/>
              <w:rPr>
                <w:rFonts w:ascii="Cambria Math" w:hAnsi="Cambria Math"/>
              </w:rPr>
            </w:pPr>
            <w:r w:rsidRPr="009348BE">
              <w:rPr>
                <w:rFonts w:ascii="Cambria Math" w:hAnsi="Cambria Math"/>
              </w:rPr>
              <w:t>$1000</w:t>
            </w:r>
          </w:p>
        </w:tc>
        <w:tc>
          <w:tcPr>
            <w:tcW w:w="1302" w:type="dxa"/>
            <w:tcBorders>
              <w:left w:val="single" w:sz="4" w:space="0" w:color="auto"/>
            </w:tcBorders>
          </w:tcPr>
          <w:p w14:paraId="41E9D538" w14:textId="5E0A33E4" w:rsidR="00831320" w:rsidRPr="009348BE" w:rsidRDefault="00831320" w:rsidP="009348BE">
            <w:pPr>
              <w:pStyle w:val="ListParagraph"/>
              <w:ind w:left="0" w:right="-432"/>
              <w:jc w:val="center"/>
              <w:rPr>
                <w:rFonts w:ascii="Cambria Math" w:hAnsi="Cambria Math"/>
              </w:rPr>
            </w:pPr>
            <w:r w:rsidRPr="009348BE">
              <w:rPr>
                <w:rFonts w:ascii="Cambria Math" w:hAnsi="Cambria Math"/>
              </w:rPr>
              <w:t>1.083</w:t>
            </w:r>
          </w:p>
        </w:tc>
      </w:tr>
      <w:tr w:rsidR="00831320" w14:paraId="383D2CA5" w14:textId="77777777" w:rsidTr="009348BE">
        <w:trPr>
          <w:jc w:val="center"/>
        </w:trPr>
        <w:tc>
          <w:tcPr>
            <w:tcW w:w="2621" w:type="dxa"/>
            <w:tcBorders>
              <w:right w:val="single" w:sz="4" w:space="0" w:color="auto"/>
            </w:tcBorders>
          </w:tcPr>
          <w:p w14:paraId="64EA35FD" w14:textId="4E7A3D0C" w:rsidR="00831320" w:rsidRPr="009348BE" w:rsidRDefault="00831320" w:rsidP="009348BE">
            <w:pPr>
              <w:pStyle w:val="ListParagraph"/>
              <w:ind w:left="0" w:right="-432"/>
              <w:rPr>
                <w:rFonts w:ascii="Cambria Math" w:hAnsi="Cambria Math"/>
              </w:rPr>
            </w:pPr>
            <w:r w:rsidRPr="009348BE">
              <w:rPr>
                <w:rFonts w:ascii="Cambria Math" w:hAnsi="Cambria Math"/>
              </w:rPr>
              <w:t>$1500</w:t>
            </w:r>
          </w:p>
        </w:tc>
        <w:tc>
          <w:tcPr>
            <w:tcW w:w="1302" w:type="dxa"/>
            <w:tcBorders>
              <w:left w:val="single" w:sz="4" w:space="0" w:color="auto"/>
            </w:tcBorders>
          </w:tcPr>
          <w:p w14:paraId="08261696" w14:textId="48759362" w:rsidR="00831320" w:rsidRPr="009348BE" w:rsidRDefault="00831320" w:rsidP="009348BE">
            <w:pPr>
              <w:pStyle w:val="ListParagraph"/>
              <w:ind w:left="0" w:right="-432"/>
              <w:jc w:val="center"/>
              <w:rPr>
                <w:rFonts w:ascii="Cambria Math" w:hAnsi="Cambria Math"/>
              </w:rPr>
            </w:pPr>
            <w:r w:rsidRPr="009348BE">
              <w:rPr>
                <w:rFonts w:ascii="Cambria Math" w:hAnsi="Cambria Math"/>
              </w:rPr>
              <w:t>1.167</w:t>
            </w:r>
          </w:p>
        </w:tc>
      </w:tr>
      <w:tr w:rsidR="00831320" w14:paraId="34CFA945" w14:textId="77777777" w:rsidTr="009348BE">
        <w:trPr>
          <w:jc w:val="center"/>
        </w:trPr>
        <w:tc>
          <w:tcPr>
            <w:tcW w:w="2621" w:type="dxa"/>
            <w:tcBorders>
              <w:right w:val="single" w:sz="4" w:space="0" w:color="auto"/>
            </w:tcBorders>
          </w:tcPr>
          <w:p w14:paraId="1DE6799B" w14:textId="4284DC9C" w:rsidR="00831320" w:rsidRPr="009348BE" w:rsidRDefault="00831320" w:rsidP="009348BE">
            <w:pPr>
              <w:pStyle w:val="ListParagraph"/>
              <w:ind w:left="0" w:right="-432"/>
              <w:rPr>
                <w:rFonts w:ascii="Cambria Math" w:hAnsi="Cambria Math"/>
              </w:rPr>
            </w:pPr>
            <w:r w:rsidRPr="009348BE">
              <w:rPr>
                <w:rFonts w:ascii="Cambria Math" w:hAnsi="Cambria Math"/>
              </w:rPr>
              <w:t>$2000+</w:t>
            </w:r>
          </w:p>
        </w:tc>
        <w:tc>
          <w:tcPr>
            <w:tcW w:w="1302" w:type="dxa"/>
            <w:tcBorders>
              <w:left w:val="single" w:sz="4" w:space="0" w:color="auto"/>
              <w:bottom w:val="single" w:sz="4" w:space="0" w:color="auto"/>
            </w:tcBorders>
          </w:tcPr>
          <w:p w14:paraId="2DD3E39C" w14:textId="42827012" w:rsidR="00831320" w:rsidRPr="009348BE" w:rsidRDefault="00831320" w:rsidP="009348BE">
            <w:pPr>
              <w:pStyle w:val="ListParagraph"/>
              <w:ind w:left="0" w:right="-432"/>
              <w:jc w:val="center"/>
              <w:rPr>
                <w:rFonts w:ascii="Cambria Math" w:hAnsi="Cambria Math"/>
              </w:rPr>
            </w:pPr>
            <w:r w:rsidRPr="009348BE">
              <w:rPr>
                <w:rFonts w:ascii="Cambria Math" w:hAnsi="Cambria Math"/>
              </w:rPr>
              <w:t>1.25</w:t>
            </w:r>
            <w:r w:rsidR="009348BE" w:rsidRPr="009348BE">
              <w:rPr>
                <w:rFonts w:ascii="Cambria Math" w:hAnsi="Cambria Math"/>
              </w:rPr>
              <w:t>0</w:t>
            </w:r>
          </w:p>
        </w:tc>
      </w:tr>
    </w:tbl>
    <w:p w14:paraId="34E608D8" w14:textId="77777777" w:rsidR="00831320" w:rsidRDefault="00831320" w:rsidP="009348BE">
      <w:pPr>
        <w:pStyle w:val="ListParagraph"/>
        <w:ind w:right="-432"/>
        <w:rPr>
          <w:rFonts w:ascii="Cambria Math" w:hAnsi="Cambria Math"/>
        </w:rPr>
      </w:pPr>
    </w:p>
    <w:p w14:paraId="2112344A" w14:textId="77777777" w:rsidR="009348BE" w:rsidRDefault="009348BE" w:rsidP="009348BE">
      <w:pPr>
        <w:pStyle w:val="ListParagraph"/>
        <w:ind w:right="-432"/>
        <w:rPr>
          <w:rFonts w:ascii="Cambria Math" w:hAnsi="Cambria Math"/>
        </w:rPr>
      </w:pPr>
    </w:p>
    <w:p w14:paraId="526CB4E0" w14:textId="77777777" w:rsidR="009348BE" w:rsidRDefault="009348BE" w:rsidP="009348BE">
      <w:pPr>
        <w:pStyle w:val="ListParagraph"/>
        <w:ind w:right="-432"/>
        <w:rPr>
          <w:rFonts w:ascii="Cambria Math" w:hAnsi="Cambria Math"/>
        </w:rPr>
      </w:pPr>
    </w:p>
    <w:p w14:paraId="61A40378" w14:textId="2F63E5D8" w:rsidR="00831320" w:rsidRDefault="00831320" w:rsidP="009348BE">
      <w:pPr>
        <w:pStyle w:val="ListParagraph"/>
        <w:ind w:right="-432"/>
        <w:jc w:val="both"/>
        <w:rPr>
          <w:rFonts w:ascii="Cambria Math" w:hAnsi="Cambria Math"/>
        </w:rPr>
      </w:pPr>
      <w:r>
        <w:rPr>
          <w:rFonts w:ascii="Cambria Math" w:hAnsi="Cambria Math"/>
        </w:rPr>
        <w:t xml:space="preserve">Certain events that fall into the </w:t>
      </w:r>
      <w:proofErr w:type="spellStart"/>
      <w:r>
        <w:rPr>
          <w:rFonts w:ascii="Cambria Math" w:hAnsi="Cambria Math"/>
        </w:rPr>
        <w:t>Playdown</w:t>
      </w:r>
      <w:r w:rsidR="009348BE">
        <w:rPr>
          <w:rFonts w:ascii="Cambria Math" w:hAnsi="Cambria Math"/>
        </w:rPr>
        <w:t>s</w:t>
      </w:r>
      <w:proofErr w:type="spellEnd"/>
      <w:r>
        <w:rPr>
          <w:rFonts w:ascii="Cambria Math" w:hAnsi="Cambria Math"/>
        </w:rPr>
        <w:t xml:space="preserve">/Special event category will </w:t>
      </w:r>
      <w:r w:rsidR="0021083F">
        <w:rPr>
          <w:rFonts w:ascii="Cambria Math" w:hAnsi="Cambria Math"/>
        </w:rPr>
        <w:t>also be eligible for this factor</w:t>
      </w:r>
      <w:r>
        <w:rPr>
          <w:rFonts w:ascii="Cambria Math" w:hAnsi="Cambria Math"/>
        </w:rPr>
        <w:t>. This will ap</w:t>
      </w:r>
      <w:r w:rsidR="00C23BF5">
        <w:rPr>
          <w:rFonts w:ascii="Cambria Math" w:hAnsi="Cambria Math"/>
        </w:rPr>
        <w:t>ply to all non-Playdown events</w:t>
      </w:r>
      <w:r>
        <w:rPr>
          <w:rFonts w:ascii="Cambria Math" w:hAnsi="Cambria Math"/>
        </w:rPr>
        <w:t>.</w:t>
      </w:r>
      <w:r w:rsidR="0021083F">
        <w:rPr>
          <w:rFonts w:ascii="Cambria Math" w:hAnsi="Cambria Math"/>
        </w:rPr>
        <w:t xml:space="preserve"> </w:t>
      </w:r>
      <w:r w:rsidR="00C23BF5">
        <w:rPr>
          <w:rFonts w:ascii="Cambria Math" w:hAnsi="Cambria Math"/>
        </w:rPr>
        <w:t>The size of purse at the Canada Cup or Grand Slams for example will reach the max of 1.25, but other events will use the formula as described above.</w:t>
      </w:r>
    </w:p>
    <w:p w14:paraId="46F79F70" w14:textId="77777777" w:rsidR="0021083F" w:rsidRDefault="0021083F" w:rsidP="009348BE">
      <w:pPr>
        <w:pStyle w:val="ListParagraph"/>
        <w:ind w:right="-432"/>
        <w:rPr>
          <w:rFonts w:ascii="Cambria Math" w:hAnsi="Cambria Math"/>
        </w:rPr>
      </w:pPr>
    </w:p>
    <w:p w14:paraId="7F47C509" w14:textId="77777777" w:rsidR="009348BE" w:rsidRDefault="0047101E" w:rsidP="009348BE">
      <w:pPr>
        <w:pStyle w:val="ListParagraph"/>
        <w:numPr>
          <w:ilvl w:val="0"/>
          <w:numId w:val="1"/>
        </w:numPr>
        <w:ind w:right="-432"/>
        <w:jc w:val="both"/>
        <w:rPr>
          <w:rFonts w:ascii="Cambria Math" w:hAnsi="Cambria Math"/>
        </w:rPr>
      </w:pPr>
      <w:r>
        <w:rPr>
          <w:rFonts w:ascii="Cambria Math" w:hAnsi="Cambria Math"/>
        </w:rPr>
        <w:t>After the SFM has been calculated and scaled to the 24-team format it will then be multiplied by the 2 factors (number of teams and purse size) to get a final value. Th</w:t>
      </w:r>
      <w:r w:rsidR="008D5023">
        <w:rPr>
          <w:rFonts w:ascii="Cambria Math" w:hAnsi="Cambria Math"/>
        </w:rPr>
        <w:t>is final SFM value is then used in combination with the base-point structure (as shown above) to determine the number of points available.</w:t>
      </w:r>
      <w:r w:rsidR="004C413C">
        <w:rPr>
          <w:rFonts w:ascii="Cambria Math" w:hAnsi="Cambria Math"/>
        </w:rPr>
        <w:t xml:space="preserve"> </w:t>
      </w:r>
    </w:p>
    <w:p w14:paraId="754DAD2F" w14:textId="77777777" w:rsidR="009348BE" w:rsidRDefault="009348BE" w:rsidP="009348BE">
      <w:pPr>
        <w:pStyle w:val="ListParagraph"/>
        <w:ind w:right="-432"/>
        <w:jc w:val="both"/>
        <w:rPr>
          <w:rFonts w:ascii="Cambria Math" w:hAnsi="Cambria Math"/>
        </w:rPr>
      </w:pPr>
    </w:p>
    <w:p w14:paraId="24AC5438" w14:textId="7F5EDCE8" w:rsidR="0021083F" w:rsidRDefault="004C413C" w:rsidP="009348BE">
      <w:pPr>
        <w:pStyle w:val="ListParagraph"/>
        <w:numPr>
          <w:ilvl w:val="0"/>
          <w:numId w:val="1"/>
        </w:numPr>
        <w:ind w:right="-432"/>
        <w:jc w:val="both"/>
        <w:rPr>
          <w:rFonts w:ascii="Cambria Math" w:hAnsi="Cambria Math"/>
        </w:rPr>
      </w:pPr>
      <w:r>
        <w:rPr>
          <w:rFonts w:ascii="Cambria Math" w:hAnsi="Cambria Math"/>
        </w:rPr>
        <w:t>The following is an example:</w:t>
      </w:r>
    </w:p>
    <w:p w14:paraId="26755B99" w14:textId="77777777" w:rsidR="009348BE" w:rsidRPr="009348BE" w:rsidRDefault="009348BE" w:rsidP="003F5E6D">
      <w:pPr>
        <w:ind w:left="360" w:right="-432"/>
        <w:jc w:val="both"/>
        <w:rPr>
          <w:rFonts w:ascii="Cambria Math" w:hAnsi="Cambria Math"/>
        </w:rPr>
      </w:pPr>
    </w:p>
    <w:p w14:paraId="15B2385B" w14:textId="71D1EEA1" w:rsidR="004C413C" w:rsidRDefault="004C413C" w:rsidP="003F5E6D">
      <w:pPr>
        <w:pStyle w:val="ListParagraph"/>
        <w:numPr>
          <w:ilvl w:val="1"/>
          <w:numId w:val="1"/>
        </w:numPr>
        <w:ind w:right="-432"/>
        <w:jc w:val="both"/>
        <w:rPr>
          <w:rFonts w:ascii="Cambria Math" w:hAnsi="Cambria Math"/>
        </w:rPr>
      </w:pPr>
      <w:r w:rsidRPr="004C413C">
        <w:rPr>
          <w:rFonts w:ascii="Cambria Math" w:hAnsi="Cambria Math"/>
        </w:rPr>
        <w:t xml:space="preserve">Example 1: A sanctioned </w:t>
      </w:r>
      <w:r w:rsidR="004E1D11">
        <w:rPr>
          <w:rFonts w:ascii="Cambria Math" w:hAnsi="Cambria Math"/>
        </w:rPr>
        <w:t>Tour Cashspiel</w:t>
      </w:r>
      <w:r w:rsidR="000F77D4">
        <w:rPr>
          <w:rFonts w:ascii="Cambria Math" w:hAnsi="Cambria Math"/>
        </w:rPr>
        <w:t xml:space="preserve"> has 32</w:t>
      </w:r>
      <w:r w:rsidRPr="004C413C">
        <w:rPr>
          <w:rFonts w:ascii="Cambria Math" w:hAnsi="Cambria Math"/>
        </w:rPr>
        <w:t xml:space="preserve"> teams competing for a purse of $50,000. In the field of 32 teams there are:</w:t>
      </w:r>
    </w:p>
    <w:p w14:paraId="2F77EC3F" w14:textId="54806339" w:rsidR="004C413C" w:rsidRDefault="004C413C" w:rsidP="003F5E6D">
      <w:pPr>
        <w:pStyle w:val="ListParagraph"/>
        <w:numPr>
          <w:ilvl w:val="2"/>
          <w:numId w:val="1"/>
        </w:numPr>
        <w:ind w:right="-432"/>
        <w:jc w:val="both"/>
        <w:rPr>
          <w:rFonts w:ascii="Cambria Math" w:hAnsi="Cambria Math"/>
        </w:rPr>
      </w:pPr>
      <w:r>
        <w:rPr>
          <w:rFonts w:ascii="Cambria Math" w:hAnsi="Cambria Math"/>
        </w:rPr>
        <w:t>5 top 2</w:t>
      </w:r>
      <w:r w:rsidR="000F77D4">
        <w:rPr>
          <w:rFonts w:ascii="Cambria Math" w:hAnsi="Cambria Math"/>
        </w:rPr>
        <w:t>0 teams ranked in the positions #</w:t>
      </w:r>
      <w:r>
        <w:rPr>
          <w:rFonts w:ascii="Cambria Math" w:hAnsi="Cambria Math"/>
        </w:rPr>
        <w:t xml:space="preserve"> 1, 4, 7, 13, and 17.</w:t>
      </w:r>
    </w:p>
    <w:p w14:paraId="4F37E4F6" w14:textId="2E578F41" w:rsidR="004C413C" w:rsidRDefault="004C413C" w:rsidP="003F5E6D">
      <w:pPr>
        <w:pStyle w:val="ListParagraph"/>
        <w:numPr>
          <w:ilvl w:val="2"/>
          <w:numId w:val="1"/>
        </w:numPr>
        <w:ind w:right="-432"/>
        <w:jc w:val="both"/>
        <w:rPr>
          <w:rFonts w:ascii="Cambria Math" w:hAnsi="Cambria Math"/>
        </w:rPr>
      </w:pPr>
      <w:r>
        <w:rPr>
          <w:rFonts w:ascii="Cambria Math" w:hAnsi="Cambria Math"/>
        </w:rPr>
        <w:t>2 teams ranked #21-30.</w:t>
      </w:r>
    </w:p>
    <w:p w14:paraId="2293688A" w14:textId="77777777" w:rsidR="004C413C" w:rsidRDefault="004C413C" w:rsidP="003F5E6D">
      <w:pPr>
        <w:pStyle w:val="ListParagraph"/>
        <w:numPr>
          <w:ilvl w:val="2"/>
          <w:numId w:val="1"/>
        </w:numPr>
        <w:ind w:right="-432"/>
        <w:jc w:val="both"/>
        <w:rPr>
          <w:rFonts w:ascii="Cambria Math" w:hAnsi="Cambria Math"/>
        </w:rPr>
      </w:pPr>
      <w:r>
        <w:rPr>
          <w:rFonts w:ascii="Cambria Math" w:hAnsi="Cambria Math"/>
        </w:rPr>
        <w:t>4 teams ranked #31-50.</w:t>
      </w:r>
    </w:p>
    <w:p w14:paraId="0D6C46AA" w14:textId="0DDF95C5" w:rsidR="001E02BC" w:rsidRDefault="001E02BC" w:rsidP="003F5E6D">
      <w:pPr>
        <w:pStyle w:val="ListParagraph"/>
        <w:numPr>
          <w:ilvl w:val="2"/>
          <w:numId w:val="1"/>
        </w:numPr>
        <w:ind w:right="-432"/>
        <w:jc w:val="both"/>
        <w:rPr>
          <w:rFonts w:ascii="Cambria Math" w:hAnsi="Cambria Math"/>
        </w:rPr>
      </w:pPr>
      <w:r>
        <w:rPr>
          <w:rFonts w:ascii="Cambria Math" w:hAnsi="Cambria Math"/>
        </w:rPr>
        <w:t>1 team ranked # 51-100.</w:t>
      </w:r>
    </w:p>
    <w:p w14:paraId="54EE357B" w14:textId="64AD621B" w:rsidR="004C413C" w:rsidRDefault="001E02BC" w:rsidP="003F5E6D">
      <w:pPr>
        <w:pStyle w:val="ListParagraph"/>
        <w:numPr>
          <w:ilvl w:val="2"/>
          <w:numId w:val="1"/>
        </w:numPr>
        <w:ind w:right="-432"/>
        <w:jc w:val="both"/>
        <w:rPr>
          <w:rFonts w:ascii="Cambria Math" w:hAnsi="Cambria Math"/>
        </w:rPr>
      </w:pPr>
      <w:r>
        <w:rPr>
          <w:rFonts w:ascii="Cambria Math" w:hAnsi="Cambria Math"/>
        </w:rPr>
        <w:t>6 teams ranked #101-200</w:t>
      </w:r>
      <w:r w:rsidR="004C413C">
        <w:rPr>
          <w:rFonts w:ascii="Cambria Math" w:hAnsi="Cambria Math"/>
        </w:rPr>
        <w:t>.</w:t>
      </w:r>
    </w:p>
    <w:p w14:paraId="6A998D6F" w14:textId="33920F27" w:rsidR="001E02BC" w:rsidRDefault="001E02BC" w:rsidP="003F5E6D">
      <w:pPr>
        <w:pStyle w:val="ListParagraph"/>
        <w:numPr>
          <w:ilvl w:val="2"/>
          <w:numId w:val="1"/>
        </w:numPr>
        <w:ind w:right="-432"/>
        <w:jc w:val="both"/>
        <w:rPr>
          <w:rFonts w:ascii="Cambria Math" w:hAnsi="Cambria Math"/>
        </w:rPr>
      </w:pPr>
      <w:r>
        <w:rPr>
          <w:rFonts w:ascii="Cambria Math" w:hAnsi="Cambria Math"/>
        </w:rPr>
        <w:t>14 teams ranked #201+.</w:t>
      </w:r>
    </w:p>
    <w:p w14:paraId="190D7018" w14:textId="77777777" w:rsidR="001E02BC" w:rsidRDefault="001E02BC" w:rsidP="003F5E6D">
      <w:pPr>
        <w:pStyle w:val="ListParagraph"/>
        <w:ind w:left="1440" w:right="-432"/>
        <w:jc w:val="both"/>
        <w:rPr>
          <w:rFonts w:ascii="Cambria Math" w:hAnsi="Cambria Math"/>
        </w:rPr>
      </w:pPr>
    </w:p>
    <w:p w14:paraId="055C1B1F" w14:textId="533029E0" w:rsidR="001E02BC" w:rsidRDefault="001E02BC" w:rsidP="003F5E6D">
      <w:pPr>
        <w:pStyle w:val="ListParagraph"/>
        <w:ind w:left="1440" w:right="-432"/>
        <w:jc w:val="both"/>
        <w:rPr>
          <w:rFonts w:ascii="Cambria Math" w:hAnsi="Cambria Math"/>
        </w:rPr>
      </w:pPr>
      <w:r>
        <w:rPr>
          <w:rFonts w:ascii="Cambria Math" w:hAnsi="Cambria Math"/>
        </w:rPr>
        <w:t>The cumulative SFM value using the above table is: 4.63. This value is then scaled to the 24-team format:</w:t>
      </w:r>
    </w:p>
    <w:p w14:paraId="76EA3775" w14:textId="77777777" w:rsidR="001E02BC" w:rsidRDefault="001E02BC" w:rsidP="003F5E6D">
      <w:pPr>
        <w:pStyle w:val="ListParagraph"/>
        <w:ind w:left="1440" w:right="-432"/>
        <w:jc w:val="both"/>
        <w:rPr>
          <w:rFonts w:ascii="Cambria Math" w:hAnsi="Cambria Math"/>
        </w:rPr>
      </w:pPr>
    </w:p>
    <w:p w14:paraId="5CAF7BE0" w14:textId="2F7EA931" w:rsidR="001E02BC" w:rsidRPr="003F5E6D" w:rsidRDefault="003F5E6D" w:rsidP="003F5E6D">
      <w:pPr>
        <w:pStyle w:val="ListParagraph"/>
        <w:ind w:left="1440" w:right="-432"/>
        <w:jc w:val="both"/>
        <w:rPr>
          <w:rFonts w:ascii="Cambria Math" w:hAnsi="Cambria Math"/>
          <w:b/>
        </w:rPr>
      </w:pPr>
      <m:oMathPara>
        <m:oMath>
          <m:r>
            <m:rPr>
              <m:sty m:val="bi"/>
            </m:rPr>
            <w:rPr>
              <w:rFonts w:ascii="Cambria Math" w:hAnsi="Cambria Math"/>
            </w:rPr>
            <m:t>4.63*</m:t>
          </m:r>
          <m:d>
            <m:dPr>
              <m:ctrlPr>
                <w:rPr>
                  <w:rFonts w:ascii="Cambria Math" w:hAnsi="Cambria Math"/>
                  <w:b/>
                  <w:i/>
                </w:rPr>
              </m:ctrlPr>
            </m:dPr>
            <m:e>
              <m:f>
                <m:fPr>
                  <m:type m:val="skw"/>
                  <m:ctrlPr>
                    <w:rPr>
                      <w:rFonts w:ascii="Cambria Math" w:hAnsi="Cambria Math"/>
                      <w:b/>
                      <w:i/>
                    </w:rPr>
                  </m:ctrlPr>
                </m:fPr>
                <m:num>
                  <m:r>
                    <m:rPr>
                      <m:sty m:val="bi"/>
                    </m:rPr>
                    <w:rPr>
                      <w:rFonts w:ascii="Cambria Math" w:hAnsi="Cambria Math"/>
                    </w:rPr>
                    <m:t>24</m:t>
                  </m:r>
                </m:num>
                <m:den>
                  <m:r>
                    <m:rPr>
                      <m:sty m:val="bi"/>
                    </m:rPr>
                    <w:rPr>
                      <w:rFonts w:ascii="Cambria Math" w:hAnsi="Cambria Math"/>
                    </w:rPr>
                    <m:t>32</m:t>
                  </m:r>
                </m:den>
              </m:f>
            </m:e>
          </m:d>
          <m:r>
            <m:rPr>
              <m:sty m:val="bi"/>
            </m:rPr>
            <w:rPr>
              <w:rFonts w:ascii="Cambria Math" w:hAnsi="Cambria Math"/>
            </w:rPr>
            <m:t>=3.47</m:t>
          </m:r>
        </m:oMath>
      </m:oMathPara>
    </w:p>
    <w:p w14:paraId="452D5387" w14:textId="77777777" w:rsidR="001E02BC" w:rsidRPr="004C413C" w:rsidRDefault="001E02BC" w:rsidP="003F5E6D">
      <w:pPr>
        <w:pStyle w:val="ListParagraph"/>
        <w:ind w:left="1440" w:right="-432"/>
        <w:jc w:val="both"/>
        <w:rPr>
          <w:rFonts w:ascii="Cambria Math" w:hAnsi="Cambria Math"/>
        </w:rPr>
      </w:pPr>
    </w:p>
    <w:p w14:paraId="03DEB0AD" w14:textId="7261F64F" w:rsidR="001E02BC" w:rsidRPr="003F5E6D" w:rsidRDefault="001E02BC" w:rsidP="003F5E6D">
      <w:pPr>
        <w:pStyle w:val="ListParagraph"/>
        <w:ind w:left="1440" w:right="-432"/>
        <w:jc w:val="both"/>
        <w:rPr>
          <w:rFonts w:ascii="Cambria Math" w:hAnsi="Cambria Math"/>
        </w:rPr>
      </w:pPr>
      <w:r>
        <w:rPr>
          <w:rFonts w:ascii="Cambria Math" w:hAnsi="Cambria Math"/>
        </w:rPr>
        <w:t xml:space="preserve">The first factor (number of teams) is at a max for a 32-team event: </w:t>
      </w:r>
      <w:r w:rsidRPr="003F5E6D">
        <w:rPr>
          <w:rFonts w:ascii="Cambria Math" w:hAnsi="Cambria Math"/>
          <w:b/>
        </w:rPr>
        <w:t>1.5</w:t>
      </w:r>
      <w:r w:rsidR="003F5E6D">
        <w:rPr>
          <w:rFonts w:ascii="Cambria Math" w:hAnsi="Cambria Math"/>
        </w:rPr>
        <w:t xml:space="preserve">. </w:t>
      </w:r>
      <w:r w:rsidRPr="003F5E6D">
        <w:rPr>
          <w:rFonts w:ascii="Cambria Math" w:hAnsi="Cambria Math"/>
        </w:rPr>
        <w:t>The second factor (purse size) is calculated using the equatio</w:t>
      </w:r>
      <w:r w:rsidR="003F5E6D">
        <w:rPr>
          <w:rFonts w:ascii="Cambria Math" w:hAnsi="Cambria Math"/>
        </w:rPr>
        <w:t>n below. The value of p is ($50,</w:t>
      </w:r>
      <w:r w:rsidRPr="003F5E6D">
        <w:rPr>
          <w:rFonts w:ascii="Cambria Math" w:hAnsi="Cambria Math"/>
        </w:rPr>
        <w:t>000/32 = 1562.5):</w:t>
      </w:r>
    </w:p>
    <w:p w14:paraId="4F5703D8" w14:textId="77777777" w:rsidR="001E02BC" w:rsidRDefault="001E02BC" w:rsidP="003F5E6D">
      <w:pPr>
        <w:pStyle w:val="ListParagraph"/>
        <w:ind w:left="1440" w:right="-432"/>
        <w:jc w:val="both"/>
        <w:rPr>
          <w:rFonts w:ascii="Cambria Math" w:hAnsi="Cambria Math"/>
        </w:rPr>
      </w:pPr>
    </w:p>
    <w:p w14:paraId="7838F456" w14:textId="23297F68" w:rsidR="001E02BC" w:rsidRPr="003F5E6D" w:rsidRDefault="003F5E6D" w:rsidP="003F5E6D">
      <w:pPr>
        <w:pStyle w:val="ListParagraph"/>
        <w:ind w:left="1440" w:right="-432"/>
        <w:jc w:val="both"/>
        <w:rPr>
          <w:rFonts w:ascii="Cambria Math" w:hAnsi="Cambria Math"/>
          <w:b/>
        </w:rPr>
      </w:pPr>
      <m:oMathPara>
        <m:oMathParaPr>
          <m:jc m:val="center"/>
        </m:oMathParaPr>
        <m:oMath>
          <m:r>
            <m:rPr>
              <m:sty m:val="bi"/>
            </m:rPr>
            <w:rPr>
              <w:rFonts w:ascii="Cambria Math" w:hAnsi="Cambria Math"/>
            </w:rPr>
            <m:t>1+</m:t>
          </m:r>
          <m:d>
            <m:dPr>
              <m:ctrlPr>
                <w:rPr>
                  <w:rFonts w:ascii="Cambria Math" w:hAnsi="Cambria Math"/>
                  <w:b/>
                  <w:i/>
                </w:rPr>
              </m:ctrlPr>
            </m:dPr>
            <m:e>
              <m:r>
                <m:rPr>
                  <m:sty m:val="bi"/>
                </m:rPr>
                <w:rPr>
                  <w:rFonts w:ascii="Cambria Math" w:hAnsi="Cambria Math"/>
                </w:rPr>
                <m:t>1562.5-500</m:t>
              </m:r>
            </m:e>
          </m:d>
          <m:r>
            <m:rPr>
              <m:sty m:val="bi"/>
            </m:rPr>
            <w:rPr>
              <w:rFonts w:ascii="Cambria Math" w:hAnsi="Cambria Math"/>
            </w:rPr>
            <m:t xml:space="preserve">*0.00017=1.18 </m:t>
          </m:r>
        </m:oMath>
      </m:oMathPara>
    </w:p>
    <w:p w14:paraId="0A7A836D" w14:textId="77777777" w:rsidR="001E02BC" w:rsidRDefault="001E02BC" w:rsidP="003F5E6D">
      <w:pPr>
        <w:pStyle w:val="ListParagraph"/>
        <w:ind w:left="1440" w:right="-432"/>
        <w:jc w:val="both"/>
        <w:rPr>
          <w:rFonts w:ascii="Cambria Math" w:hAnsi="Cambria Math"/>
        </w:rPr>
      </w:pPr>
    </w:p>
    <w:p w14:paraId="1910B3C8" w14:textId="708CF4F7" w:rsidR="001E02BC" w:rsidRDefault="001E02BC" w:rsidP="003F5E6D">
      <w:pPr>
        <w:pStyle w:val="ListParagraph"/>
        <w:ind w:left="1440" w:right="-432"/>
        <w:jc w:val="both"/>
        <w:rPr>
          <w:rFonts w:ascii="Cambria Math" w:hAnsi="Cambria Math"/>
        </w:rPr>
      </w:pPr>
      <w:r>
        <w:rPr>
          <w:rFonts w:ascii="Cambria Math" w:hAnsi="Cambria Math"/>
        </w:rPr>
        <w:t>The final</w:t>
      </w:r>
      <w:r w:rsidR="002758FC">
        <w:rPr>
          <w:rFonts w:ascii="Cambria Math" w:hAnsi="Cambria Math"/>
        </w:rPr>
        <w:t xml:space="preserve"> SFM value is then calculated by multiplying both factors to the scaled SFM value</w:t>
      </w:r>
      <w:r>
        <w:rPr>
          <w:rFonts w:ascii="Cambria Math" w:hAnsi="Cambria Math"/>
        </w:rPr>
        <w:t>:</w:t>
      </w:r>
    </w:p>
    <w:p w14:paraId="7440098B" w14:textId="77777777" w:rsidR="006B4846" w:rsidRPr="003F5E6D" w:rsidRDefault="006B4846" w:rsidP="003F5E6D">
      <w:pPr>
        <w:pStyle w:val="ListParagraph"/>
        <w:ind w:left="1440" w:right="-432"/>
        <w:jc w:val="both"/>
        <w:rPr>
          <w:rFonts w:ascii="Cambria Math" w:hAnsi="Cambria Math"/>
          <w:sz w:val="18"/>
          <w:szCs w:val="18"/>
        </w:rPr>
      </w:pPr>
    </w:p>
    <w:p w14:paraId="4F7B7601" w14:textId="291D3409" w:rsidR="006B4846" w:rsidRPr="003F5E6D" w:rsidRDefault="003F5E6D" w:rsidP="003F5E6D">
      <w:pPr>
        <w:pStyle w:val="ListParagraph"/>
        <w:ind w:left="1440" w:right="-432"/>
        <w:jc w:val="both"/>
        <w:rPr>
          <w:rFonts w:ascii="Cambria Math" w:hAnsi="Cambria Math"/>
          <w:b/>
        </w:rPr>
      </w:pPr>
      <m:oMathPara>
        <m:oMathParaPr>
          <m:jc m:val="center"/>
        </m:oMathParaPr>
        <m:oMath>
          <m:r>
            <m:rPr>
              <m:sty m:val="bi"/>
            </m:rPr>
            <w:rPr>
              <w:rFonts w:ascii="Cambria Math" w:hAnsi="Cambria Math"/>
            </w:rPr>
            <m:t>4.63*1.50*1.18=8.195</m:t>
          </m:r>
        </m:oMath>
      </m:oMathPara>
    </w:p>
    <w:p w14:paraId="6A9E938D" w14:textId="77777777" w:rsidR="002758FC" w:rsidRPr="003F5E6D" w:rsidRDefault="002758FC" w:rsidP="003F5E6D">
      <w:pPr>
        <w:pStyle w:val="ListParagraph"/>
        <w:ind w:left="1440" w:right="-432"/>
        <w:jc w:val="both"/>
        <w:rPr>
          <w:rFonts w:ascii="Cambria Math" w:hAnsi="Cambria Math"/>
          <w:sz w:val="18"/>
          <w:szCs w:val="18"/>
        </w:rPr>
      </w:pPr>
    </w:p>
    <w:p w14:paraId="17848BF5" w14:textId="711BBE17" w:rsidR="006B4846" w:rsidRDefault="006B4846" w:rsidP="003F5E6D">
      <w:pPr>
        <w:pStyle w:val="ListParagraph"/>
        <w:ind w:left="1440" w:right="-432"/>
        <w:jc w:val="both"/>
        <w:rPr>
          <w:rFonts w:ascii="Cambria Math" w:hAnsi="Cambria Math"/>
        </w:rPr>
      </w:pPr>
      <w:r>
        <w:rPr>
          <w:rFonts w:ascii="Cambria Math" w:hAnsi="Cambria Math"/>
        </w:rPr>
        <w:t xml:space="preserve">The last </w:t>
      </w:r>
      <w:r w:rsidRPr="00F7542C">
        <w:t>step is using this final SFM value in combination with the base-point structure to determine</w:t>
      </w:r>
      <w:r>
        <w:rPr>
          <w:rFonts w:ascii="Cambria Math" w:hAnsi="Cambria Math"/>
        </w:rPr>
        <w:t xml:space="preserve"> the points available:</w:t>
      </w:r>
    </w:p>
    <w:p w14:paraId="14BAABA6" w14:textId="77777777" w:rsidR="006B4846" w:rsidRDefault="006B4846" w:rsidP="009348BE">
      <w:pPr>
        <w:pStyle w:val="ListParagraph"/>
        <w:ind w:left="1440" w:right="-432"/>
        <w:rPr>
          <w:rFonts w:ascii="Cambria Math" w:hAnsi="Cambria Math"/>
        </w:rPr>
      </w:pPr>
    </w:p>
    <w:tbl>
      <w:tblPr>
        <w:tblStyle w:val="TableGrid"/>
        <w:tblW w:w="0" w:type="auto"/>
        <w:jc w:val="center"/>
        <w:tblInd w:w="1440" w:type="dxa"/>
        <w:tblBorders>
          <w:insideH w:val="none" w:sz="0" w:space="0" w:color="auto"/>
          <w:insideV w:val="none" w:sz="0" w:space="0" w:color="auto"/>
        </w:tblBorders>
        <w:tblLook w:val="04A0" w:firstRow="1" w:lastRow="0" w:firstColumn="1" w:lastColumn="0" w:noHBand="0" w:noVBand="1"/>
      </w:tblPr>
      <w:tblGrid>
        <w:gridCol w:w="1078"/>
        <w:gridCol w:w="1276"/>
        <w:gridCol w:w="1417"/>
        <w:gridCol w:w="1134"/>
      </w:tblGrid>
      <w:tr w:rsidR="006B4846" w14:paraId="79F6C37C" w14:textId="77777777" w:rsidTr="006B4846">
        <w:trPr>
          <w:jc w:val="center"/>
        </w:trPr>
        <w:tc>
          <w:tcPr>
            <w:tcW w:w="1078" w:type="dxa"/>
            <w:tcBorders>
              <w:top w:val="single" w:sz="4" w:space="0" w:color="auto"/>
              <w:bottom w:val="single" w:sz="4" w:space="0" w:color="auto"/>
              <w:right w:val="single" w:sz="4" w:space="0" w:color="auto"/>
            </w:tcBorders>
          </w:tcPr>
          <w:p w14:paraId="4042AA29" w14:textId="2FCC6A7C" w:rsidR="006B4846" w:rsidRPr="003F5E6D" w:rsidRDefault="006B4846" w:rsidP="003F5E6D">
            <w:pPr>
              <w:pStyle w:val="ListParagraph"/>
              <w:ind w:left="0" w:right="-432"/>
              <w:rPr>
                <w:rFonts w:ascii="Cambria Math" w:hAnsi="Cambria Math"/>
                <w:b/>
              </w:rPr>
            </w:pPr>
            <w:r w:rsidRPr="003F5E6D">
              <w:rPr>
                <w:rFonts w:ascii="Cambria Math" w:hAnsi="Cambria Math"/>
                <w:b/>
              </w:rPr>
              <w:t>Place</w:t>
            </w:r>
          </w:p>
        </w:tc>
        <w:tc>
          <w:tcPr>
            <w:tcW w:w="1276" w:type="dxa"/>
            <w:tcBorders>
              <w:top w:val="single" w:sz="4" w:space="0" w:color="auto"/>
              <w:left w:val="single" w:sz="4" w:space="0" w:color="auto"/>
              <w:bottom w:val="single" w:sz="4" w:space="0" w:color="auto"/>
              <w:right w:val="single" w:sz="4" w:space="0" w:color="auto"/>
            </w:tcBorders>
          </w:tcPr>
          <w:p w14:paraId="01A642A4" w14:textId="6F0C270A" w:rsidR="006B4846" w:rsidRPr="003F5E6D" w:rsidRDefault="006B4846" w:rsidP="003F5E6D">
            <w:pPr>
              <w:pStyle w:val="ListParagraph"/>
              <w:ind w:left="-76" w:right="-432"/>
              <w:rPr>
                <w:rFonts w:ascii="Cambria Math" w:hAnsi="Cambria Math"/>
                <w:b/>
              </w:rPr>
            </w:pPr>
            <w:r w:rsidRPr="003F5E6D">
              <w:rPr>
                <w:rFonts w:ascii="Cambria Math" w:hAnsi="Cambria Math"/>
                <w:b/>
              </w:rPr>
              <w:t>Final SFM</w:t>
            </w:r>
          </w:p>
        </w:tc>
        <w:tc>
          <w:tcPr>
            <w:tcW w:w="1417" w:type="dxa"/>
            <w:tcBorders>
              <w:top w:val="single" w:sz="4" w:space="0" w:color="auto"/>
              <w:left w:val="single" w:sz="4" w:space="0" w:color="auto"/>
              <w:bottom w:val="single" w:sz="4" w:space="0" w:color="auto"/>
              <w:right w:val="single" w:sz="4" w:space="0" w:color="auto"/>
            </w:tcBorders>
          </w:tcPr>
          <w:p w14:paraId="62574300" w14:textId="28869C70" w:rsidR="006B4846" w:rsidRPr="003F5E6D" w:rsidRDefault="006B4846" w:rsidP="003F5E6D">
            <w:pPr>
              <w:pStyle w:val="ListParagraph"/>
              <w:ind w:left="0" w:right="-432"/>
              <w:rPr>
                <w:rFonts w:ascii="Cambria Math" w:hAnsi="Cambria Math"/>
                <w:b/>
              </w:rPr>
            </w:pPr>
            <w:r w:rsidRPr="003F5E6D">
              <w:rPr>
                <w:rFonts w:ascii="Cambria Math" w:hAnsi="Cambria Math"/>
                <w:b/>
              </w:rPr>
              <w:t>Base Points</w:t>
            </w:r>
          </w:p>
        </w:tc>
        <w:tc>
          <w:tcPr>
            <w:tcW w:w="1134" w:type="dxa"/>
            <w:tcBorders>
              <w:top w:val="single" w:sz="4" w:space="0" w:color="auto"/>
              <w:left w:val="single" w:sz="4" w:space="0" w:color="auto"/>
              <w:bottom w:val="single" w:sz="4" w:space="0" w:color="auto"/>
            </w:tcBorders>
          </w:tcPr>
          <w:p w14:paraId="48B24465" w14:textId="4F2C4BE7" w:rsidR="006B4846" w:rsidRPr="003F5E6D" w:rsidRDefault="006B4846" w:rsidP="009348BE">
            <w:pPr>
              <w:pStyle w:val="ListParagraph"/>
              <w:ind w:left="0" w:right="-432"/>
              <w:jc w:val="center"/>
              <w:rPr>
                <w:rFonts w:ascii="Cambria Math" w:hAnsi="Cambria Math"/>
                <w:b/>
              </w:rPr>
            </w:pPr>
            <w:r w:rsidRPr="003F5E6D">
              <w:rPr>
                <w:rFonts w:ascii="Cambria Math" w:hAnsi="Cambria Math"/>
                <w:b/>
              </w:rPr>
              <w:t>Total</w:t>
            </w:r>
          </w:p>
        </w:tc>
      </w:tr>
      <w:tr w:rsidR="006B4846" w14:paraId="03FC67FB" w14:textId="77777777" w:rsidTr="002758FC">
        <w:trPr>
          <w:jc w:val="center"/>
        </w:trPr>
        <w:tc>
          <w:tcPr>
            <w:tcW w:w="1078" w:type="dxa"/>
            <w:tcBorders>
              <w:top w:val="single" w:sz="4" w:space="0" w:color="auto"/>
              <w:right w:val="single" w:sz="4" w:space="0" w:color="auto"/>
            </w:tcBorders>
          </w:tcPr>
          <w:p w14:paraId="4582B39F" w14:textId="6B8109BD" w:rsidR="006B4846" w:rsidRDefault="006B4846" w:rsidP="003F5E6D">
            <w:pPr>
              <w:pStyle w:val="ListParagraph"/>
              <w:ind w:left="0" w:right="-432"/>
              <w:rPr>
                <w:rFonts w:ascii="Cambria Math" w:hAnsi="Cambria Math"/>
              </w:rPr>
            </w:pPr>
            <w:r>
              <w:rPr>
                <w:rFonts w:ascii="Cambria Math" w:hAnsi="Cambria Math"/>
              </w:rPr>
              <w:t>1</w:t>
            </w:r>
            <w:r w:rsidRPr="006B4846">
              <w:rPr>
                <w:rFonts w:ascii="Cambria Math" w:hAnsi="Cambria Math"/>
                <w:vertAlign w:val="superscript"/>
              </w:rPr>
              <w:t>st</w:t>
            </w:r>
          </w:p>
        </w:tc>
        <w:tc>
          <w:tcPr>
            <w:tcW w:w="1276" w:type="dxa"/>
            <w:tcBorders>
              <w:top w:val="single" w:sz="4" w:space="0" w:color="auto"/>
              <w:left w:val="single" w:sz="4" w:space="0" w:color="auto"/>
              <w:right w:val="single" w:sz="4" w:space="0" w:color="auto"/>
            </w:tcBorders>
          </w:tcPr>
          <w:p w14:paraId="0AB6625D" w14:textId="530A8F58" w:rsidR="006B4846" w:rsidRDefault="006B4846" w:rsidP="003F5E6D">
            <w:pPr>
              <w:pStyle w:val="ListParagraph"/>
              <w:ind w:left="-76" w:right="-432"/>
              <w:jc w:val="center"/>
              <w:rPr>
                <w:rFonts w:ascii="Cambria Math" w:hAnsi="Cambria Math"/>
              </w:rPr>
            </w:pPr>
            <w:r>
              <w:rPr>
                <w:rFonts w:ascii="Cambria Math" w:hAnsi="Cambria Math"/>
              </w:rPr>
              <w:t>8.195</w:t>
            </w:r>
          </w:p>
        </w:tc>
        <w:tc>
          <w:tcPr>
            <w:tcW w:w="1417" w:type="dxa"/>
            <w:tcBorders>
              <w:top w:val="single" w:sz="4" w:space="0" w:color="auto"/>
              <w:left w:val="single" w:sz="4" w:space="0" w:color="auto"/>
              <w:right w:val="single" w:sz="4" w:space="0" w:color="auto"/>
            </w:tcBorders>
          </w:tcPr>
          <w:p w14:paraId="11E83612" w14:textId="33333C8C" w:rsidR="006B4846" w:rsidRDefault="006B4846" w:rsidP="003F5E6D">
            <w:pPr>
              <w:pStyle w:val="ListParagraph"/>
              <w:ind w:left="0" w:right="-432"/>
              <w:jc w:val="center"/>
              <w:rPr>
                <w:rFonts w:ascii="Cambria Math" w:hAnsi="Cambria Math"/>
              </w:rPr>
            </w:pPr>
            <w:r>
              <w:rPr>
                <w:rFonts w:ascii="Cambria Math" w:hAnsi="Cambria Math"/>
              </w:rPr>
              <w:t>7</w:t>
            </w:r>
            <w:r w:rsidR="003F5E6D">
              <w:rPr>
                <w:rFonts w:ascii="Cambria Math" w:hAnsi="Cambria Math"/>
              </w:rPr>
              <w:t>.00</w:t>
            </w:r>
          </w:p>
        </w:tc>
        <w:tc>
          <w:tcPr>
            <w:tcW w:w="1134" w:type="dxa"/>
            <w:tcBorders>
              <w:top w:val="single" w:sz="4" w:space="0" w:color="auto"/>
              <w:left w:val="single" w:sz="4" w:space="0" w:color="auto"/>
            </w:tcBorders>
            <w:vAlign w:val="bottom"/>
          </w:tcPr>
          <w:p w14:paraId="146F116E" w14:textId="7041590C" w:rsidR="006B4846" w:rsidRDefault="006B4846" w:rsidP="009348BE">
            <w:pPr>
              <w:pStyle w:val="ListParagraph"/>
              <w:ind w:left="0" w:right="-432"/>
              <w:jc w:val="center"/>
              <w:rPr>
                <w:rFonts w:ascii="Cambria Math" w:hAnsi="Cambria Math"/>
              </w:rPr>
            </w:pPr>
            <w:r>
              <w:rPr>
                <w:rFonts w:ascii="Calibri" w:eastAsia="Times New Roman" w:hAnsi="Calibri" w:cs="Times New Roman"/>
                <w:color w:val="000000"/>
              </w:rPr>
              <w:t>57.37</w:t>
            </w:r>
          </w:p>
        </w:tc>
      </w:tr>
      <w:tr w:rsidR="006B4846" w14:paraId="2D4E64F6" w14:textId="77777777" w:rsidTr="002758FC">
        <w:trPr>
          <w:jc w:val="center"/>
        </w:trPr>
        <w:tc>
          <w:tcPr>
            <w:tcW w:w="1078" w:type="dxa"/>
            <w:tcBorders>
              <w:right w:val="single" w:sz="4" w:space="0" w:color="auto"/>
            </w:tcBorders>
          </w:tcPr>
          <w:p w14:paraId="0A2EEF7F" w14:textId="79D9BE80" w:rsidR="006B4846" w:rsidRDefault="006B4846" w:rsidP="003F5E6D">
            <w:pPr>
              <w:pStyle w:val="ListParagraph"/>
              <w:ind w:left="0" w:right="-432"/>
              <w:rPr>
                <w:rFonts w:ascii="Cambria Math" w:hAnsi="Cambria Math"/>
              </w:rPr>
            </w:pPr>
            <w:r>
              <w:rPr>
                <w:rFonts w:ascii="Cambria Math" w:hAnsi="Cambria Math"/>
              </w:rPr>
              <w:t>2</w:t>
            </w:r>
            <w:r w:rsidRPr="006B4846">
              <w:rPr>
                <w:rFonts w:ascii="Cambria Math" w:hAnsi="Cambria Math"/>
                <w:vertAlign w:val="superscript"/>
              </w:rPr>
              <w:t>nd</w:t>
            </w:r>
          </w:p>
        </w:tc>
        <w:tc>
          <w:tcPr>
            <w:tcW w:w="1276" w:type="dxa"/>
            <w:tcBorders>
              <w:left w:val="single" w:sz="4" w:space="0" w:color="auto"/>
              <w:right w:val="single" w:sz="4" w:space="0" w:color="auto"/>
            </w:tcBorders>
          </w:tcPr>
          <w:p w14:paraId="052DB272" w14:textId="572A1575" w:rsidR="006B4846" w:rsidRDefault="006B4846" w:rsidP="003F5E6D">
            <w:pPr>
              <w:pStyle w:val="ListParagraph"/>
              <w:ind w:left="-76" w:right="-432"/>
              <w:jc w:val="center"/>
              <w:rPr>
                <w:rFonts w:ascii="Cambria Math" w:hAnsi="Cambria Math"/>
              </w:rPr>
            </w:pPr>
            <w:r>
              <w:rPr>
                <w:rFonts w:ascii="Cambria Math" w:hAnsi="Cambria Math"/>
              </w:rPr>
              <w:t>8.195</w:t>
            </w:r>
          </w:p>
        </w:tc>
        <w:tc>
          <w:tcPr>
            <w:tcW w:w="1417" w:type="dxa"/>
            <w:tcBorders>
              <w:left w:val="single" w:sz="4" w:space="0" w:color="auto"/>
              <w:right w:val="single" w:sz="4" w:space="0" w:color="auto"/>
            </w:tcBorders>
          </w:tcPr>
          <w:p w14:paraId="452383F9" w14:textId="4FA68679" w:rsidR="006B4846" w:rsidRDefault="006B4846" w:rsidP="003F5E6D">
            <w:pPr>
              <w:pStyle w:val="ListParagraph"/>
              <w:ind w:left="0" w:right="-432"/>
              <w:jc w:val="center"/>
              <w:rPr>
                <w:rFonts w:ascii="Cambria Math" w:hAnsi="Cambria Math"/>
              </w:rPr>
            </w:pPr>
            <w:r>
              <w:rPr>
                <w:rFonts w:ascii="Cambria Math" w:hAnsi="Cambria Math"/>
              </w:rPr>
              <w:t>5</w:t>
            </w:r>
            <w:r w:rsidR="00846FF9">
              <w:rPr>
                <w:rFonts w:ascii="Cambria Math" w:hAnsi="Cambria Math"/>
              </w:rPr>
              <w:t>.5</w:t>
            </w:r>
            <w:r w:rsidR="003F5E6D">
              <w:rPr>
                <w:rFonts w:ascii="Cambria Math" w:hAnsi="Cambria Math"/>
              </w:rPr>
              <w:t>0</w:t>
            </w:r>
          </w:p>
        </w:tc>
        <w:tc>
          <w:tcPr>
            <w:tcW w:w="1134" w:type="dxa"/>
            <w:tcBorders>
              <w:left w:val="single" w:sz="4" w:space="0" w:color="auto"/>
            </w:tcBorders>
            <w:vAlign w:val="bottom"/>
          </w:tcPr>
          <w:p w14:paraId="7E8AC903" w14:textId="687B2A80" w:rsidR="006B4846" w:rsidRDefault="00846FF9" w:rsidP="009348BE">
            <w:pPr>
              <w:pStyle w:val="ListParagraph"/>
              <w:ind w:left="0" w:right="-432"/>
              <w:jc w:val="center"/>
              <w:rPr>
                <w:rFonts w:ascii="Cambria Math" w:hAnsi="Cambria Math"/>
              </w:rPr>
            </w:pPr>
            <w:r>
              <w:rPr>
                <w:rFonts w:ascii="Calibri" w:eastAsia="Times New Roman" w:hAnsi="Calibri" w:cs="Times New Roman"/>
                <w:color w:val="000000"/>
              </w:rPr>
              <w:t>45.07</w:t>
            </w:r>
          </w:p>
        </w:tc>
      </w:tr>
      <w:tr w:rsidR="006B4846" w14:paraId="3BDDF401" w14:textId="77777777" w:rsidTr="002758FC">
        <w:trPr>
          <w:jc w:val="center"/>
        </w:trPr>
        <w:tc>
          <w:tcPr>
            <w:tcW w:w="1078" w:type="dxa"/>
            <w:tcBorders>
              <w:right w:val="single" w:sz="4" w:space="0" w:color="auto"/>
            </w:tcBorders>
          </w:tcPr>
          <w:p w14:paraId="23635B92" w14:textId="6A679213" w:rsidR="006B4846" w:rsidRDefault="006B4846" w:rsidP="003F5E6D">
            <w:pPr>
              <w:pStyle w:val="ListParagraph"/>
              <w:ind w:left="0" w:right="-432"/>
              <w:rPr>
                <w:rFonts w:ascii="Cambria Math" w:hAnsi="Cambria Math"/>
              </w:rPr>
            </w:pPr>
            <w:r>
              <w:rPr>
                <w:rFonts w:ascii="Cambria Math" w:hAnsi="Cambria Math"/>
              </w:rPr>
              <w:t>3</w:t>
            </w:r>
            <w:r w:rsidRPr="006B4846">
              <w:rPr>
                <w:rFonts w:ascii="Cambria Math" w:hAnsi="Cambria Math"/>
                <w:vertAlign w:val="superscript"/>
              </w:rPr>
              <w:t>rd</w:t>
            </w:r>
            <w:r>
              <w:rPr>
                <w:rFonts w:ascii="Cambria Math" w:hAnsi="Cambria Math"/>
              </w:rPr>
              <w:t>-4</w:t>
            </w:r>
            <w:r w:rsidRPr="006B4846">
              <w:rPr>
                <w:rFonts w:ascii="Cambria Math" w:hAnsi="Cambria Math"/>
                <w:vertAlign w:val="superscript"/>
              </w:rPr>
              <w:t>th</w:t>
            </w:r>
          </w:p>
        </w:tc>
        <w:tc>
          <w:tcPr>
            <w:tcW w:w="1276" w:type="dxa"/>
            <w:tcBorders>
              <w:left w:val="single" w:sz="4" w:space="0" w:color="auto"/>
              <w:right w:val="single" w:sz="4" w:space="0" w:color="auto"/>
            </w:tcBorders>
          </w:tcPr>
          <w:p w14:paraId="3384085C" w14:textId="04861854" w:rsidR="006B4846" w:rsidRDefault="006B4846" w:rsidP="003F5E6D">
            <w:pPr>
              <w:pStyle w:val="ListParagraph"/>
              <w:ind w:left="-76" w:right="-432"/>
              <w:jc w:val="center"/>
              <w:rPr>
                <w:rFonts w:ascii="Cambria Math" w:hAnsi="Cambria Math"/>
              </w:rPr>
            </w:pPr>
            <w:r>
              <w:rPr>
                <w:rFonts w:ascii="Cambria Math" w:hAnsi="Cambria Math"/>
              </w:rPr>
              <w:t>8.195</w:t>
            </w:r>
          </w:p>
        </w:tc>
        <w:tc>
          <w:tcPr>
            <w:tcW w:w="1417" w:type="dxa"/>
            <w:tcBorders>
              <w:left w:val="single" w:sz="4" w:space="0" w:color="auto"/>
              <w:right w:val="single" w:sz="4" w:space="0" w:color="auto"/>
            </w:tcBorders>
          </w:tcPr>
          <w:p w14:paraId="6B4186D6" w14:textId="602A5DCD" w:rsidR="006B4846" w:rsidRDefault="006B4846" w:rsidP="003F5E6D">
            <w:pPr>
              <w:pStyle w:val="ListParagraph"/>
              <w:ind w:left="0" w:right="-432"/>
              <w:jc w:val="center"/>
              <w:rPr>
                <w:rFonts w:ascii="Cambria Math" w:hAnsi="Cambria Math"/>
              </w:rPr>
            </w:pPr>
            <w:r>
              <w:rPr>
                <w:rFonts w:ascii="Cambria Math" w:hAnsi="Cambria Math"/>
              </w:rPr>
              <w:t>4</w:t>
            </w:r>
            <w:r w:rsidR="00846FF9">
              <w:rPr>
                <w:rFonts w:ascii="Cambria Math" w:hAnsi="Cambria Math"/>
              </w:rPr>
              <w:t>.25</w:t>
            </w:r>
          </w:p>
        </w:tc>
        <w:tc>
          <w:tcPr>
            <w:tcW w:w="1134" w:type="dxa"/>
            <w:tcBorders>
              <w:left w:val="single" w:sz="4" w:space="0" w:color="auto"/>
            </w:tcBorders>
            <w:vAlign w:val="bottom"/>
          </w:tcPr>
          <w:p w14:paraId="4BDEC2A4" w14:textId="21E166AD" w:rsidR="006B4846" w:rsidRDefault="00846FF9" w:rsidP="009348BE">
            <w:pPr>
              <w:pStyle w:val="ListParagraph"/>
              <w:ind w:left="0" w:right="-432"/>
              <w:jc w:val="center"/>
              <w:rPr>
                <w:rFonts w:ascii="Cambria Math" w:hAnsi="Cambria Math"/>
              </w:rPr>
            </w:pPr>
            <w:r>
              <w:rPr>
                <w:rFonts w:ascii="Calibri" w:eastAsia="Times New Roman" w:hAnsi="Calibri" w:cs="Times New Roman"/>
                <w:color w:val="000000"/>
              </w:rPr>
              <w:t>34.83</w:t>
            </w:r>
          </w:p>
        </w:tc>
      </w:tr>
      <w:tr w:rsidR="006B4846" w14:paraId="4D07A00B" w14:textId="77777777" w:rsidTr="002758FC">
        <w:trPr>
          <w:jc w:val="center"/>
        </w:trPr>
        <w:tc>
          <w:tcPr>
            <w:tcW w:w="1078" w:type="dxa"/>
            <w:tcBorders>
              <w:right w:val="single" w:sz="4" w:space="0" w:color="auto"/>
            </w:tcBorders>
          </w:tcPr>
          <w:p w14:paraId="215E0AAE" w14:textId="1EA24A56" w:rsidR="006B4846" w:rsidRDefault="006B4846" w:rsidP="003F5E6D">
            <w:pPr>
              <w:pStyle w:val="ListParagraph"/>
              <w:ind w:left="0" w:right="-432"/>
              <w:rPr>
                <w:rFonts w:ascii="Cambria Math" w:hAnsi="Cambria Math"/>
              </w:rPr>
            </w:pPr>
            <w:r>
              <w:rPr>
                <w:rFonts w:ascii="Cambria Math" w:hAnsi="Cambria Math"/>
              </w:rPr>
              <w:t>5</w:t>
            </w:r>
            <w:r w:rsidRPr="006B4846">
              <w:rPr>
                <w:rFonts w:ascii="Cambria Math" w:hAnsi="Cambria Math"/>
                <w:vertAlign w:val="superscript"/>
              </w:rPr>
              <w:t>th</w:t>
            </w:r>
            <w:r>
              <w:rPr>
                <w:rFonts w:ascii="Cambria Math" w:hAnsi="Cambria Math"/>
              </w:rPr>
              <w:t>-8</w:t>
            </w:r>
            <w:r w:rsidRPr="006B4846">
              <w:rPr>
                <w:rFonts w:ascii="Cambria Math" w:hAnsi="Cambria Math"/>
                <w:vertAlign w:val="superscript"/>
              </w:rPr>
              <w:t>th</w:t>
            </w:r>
          </w:p>
        </w:tc>
        <w:tc>
          <w:tcPr>
            <w:tcW w:w="1276" w:type="dxa"/>
            <w:tcBorders>
              <w:left w:val="single" w:sz="4" w:space="0" w:color="auto"/>
              <w:bottom w:val="single" w:sz="4" w:space="0" w:color="auto"/>
              <w:right w:val="single" w:sz="4" w:space="0" w:color="auto"/>
            </w:tcBorders>
          </w:tcPr>
          <w:p w14:paraId="4CE6AFD1" w14:textId="275FF46E" w:rsidR="006B4846" w:rsidRDefault="006B4846" w:rsidP="003F5E6D">
            <w:pPr>
              <w:pStyle w:val="ListParagraph"/>
              <w:ind w:left="-76" w:right="-432"/>
              <w:jc w:val="center"/>
              <w:rPr>
                <w:rFonts w:ascii="Cambria Math" w:hAnsi="Cambria Math"/>
              </w:rPr>
            </w:pPr>
            <w:r>
              <w:rPr>
                <w:rFonts w:ascii="Cambria Math" w:hAnsi="Cambria Math"/>
              </w:rPr>
              <w:t>8.195</w:t>
            </w:r>
          </w:p>
        </w:tc>
        <w:tc>
          <w:tcPr>
            <w:tcW w:w="1417" w:type="dxa"/>
            <w:tcBorders>
              <w:left w:val="single" w:sz="4" w:space="0" w:color="auto"/>
              <w:right w:val="single" w:sz="4" w:space="0" w:color="auto"/>
            </w:tcBorders>
          </w:tcPr>
          <w:p w14:paraId="48F3BC84" w14:textId="4281B1F7" w:rsidR="006B4846" w:rsidRDefault="006B4846" w:rsidP="003F5E6D">
            <w:pPr>
              <w:pStyle w:val="ListParagraph"/>
              <w:ind w:left="0" w:right="-432"/>
              <w:jc w:val="center"/>
              <w:rPr>
                <w:rFonts w:ascii="Cambria Math" w:hAnsi="Cambria Math"/>
              </w:rPr>
            </w:pPr>
            <w:r>
              <w:rPr>
                <w:rFonts w:ascii="Cambria Math" w:hAnsi="Cambria Math"/>
              </w:rPr>
              <w:t>3</w:t>
            </w:r>
            <w:r w:rsidR="003F5E6D">
              <w:rPr>
                <w:rFonts w:ascii="Cambria Math" w:hAnsi="Cambria Math"/>
              </w:rPr>
              <w:t>.00</w:t>
            </w:r>
          </w:p>
        </w:tc>
        <w:tc>
          <w:tcPr>
            <w:tcW w:w="1134" w:type="dxa"/>
            <w:tcBorders>
              <w:left w:val="single" w:sz="4" w:space="0" w:color="auto"/>
              <w:bottom w:val="single" w:sz="4" w:space="0" w:color="auto"/>
            </w:tcBorders>
            <w:vAlign w:val="bottom"/>
          </w:tcPr>
          <w:p w14:paraId="4993FAC1" w14:textId="307A55C0" w:rsidR="006B4846" w:rsidRDefault="006B4846" w:rsidP="009348BE">
            <w:pPr>
              <w:pStyle w:val="ListParagraph"/>
              <w:ind w:left="0" w:right="-432"/>
              <w:jc w:val="center"/>
              <w:rPr>
                <w:rFonts w:ascii="Cambria Math" w:hAnsi="Cambria Math"/>
              </w:rPr>
            </w:pPr>
            <w:r>
              <w:rPr>
                <w:rFonts w:ascii="Calibri" w:eastAsia="Times New Roman" w:hAnsi="Calibri" w:cs="Times New Roman"/>
                <w:color w:val="000000"/>
              </w:rPr>
              <w:t>24.59</w:t>
            </w:r>
          </w:p>
        </w:tc>
      </w:tr>
    </w:tbl>
    <w:p w14:paraId="71D3D11C" w14:textId="04951AB0" w:rsidR="00CE2154" w:rsidRPr="003F5E6D" w:rsidRDefault="00CE2154" w:rsidP="003F5E6D">
      <w:pPr>
        <w:ind w:left="1440" w:right="-432" w:firstLine="720"/>
        <w:rPr>
          <w:rFonts w:ascii="Cambria Math" w:hAnsi="Cambria Math"/>
          <w:sz w:val="16"/>
          <w:szCs w:val="16"/>
        </w:rPr>
      </w:pPr>
      <w:r w:rsidRPr="003F5E6D">
        <w:rPr>
          <w:rFonts w:ascii="Cambria Math" w:hAnsi="Cambria Math"/>
          <w:sz w:val="16"/>
          <w:szCs w:val="16"/>
        </w:rPr>
        <w:t xml:space="preserve">* </w:t>
      </w:r>
      <w:r w:rsidR="006B4846" w:rsidRPr="003F5E6D">
        <w:rPr>
          <w:rFonts w:ascii="Cambria Math" w:hAnsi="Cambria Math"/>
          <w:sz w:val="16"/>
          <w:szCs w:val="16"/>
        </w:rPr>
        <w:t>This</w:t>
      </w:r>
      <w:r w:rsidR="00846FF9" w:rsidRPr="003F5E6D">
        <w:rPr>
          <w:rFonts w:ascii="Cambria Math" w:hAnsi="Cambria Math"/>
          <w:sz w:val="16"/>
          <w:szCs w:val="16"/>
        </w:rPr>
        <w:t xml:space="preserve"> event yields a total of 270.44</w:t>
      </w:r>
      <w:r w:rsidR="006B4846" w:rsidRPr="003F5E6D">
        <w:rPr>
          <w:rFonts w:ascii="Cambria Math" w:hAnsi="Cambria Math"/>
          <w:sz w:val="16"/>
          <w:szCs w:val="16"/>
        </w:rPr>
        <w:t xml:space="preserve"> points.</w:t>
      </w:r>
    </w:p>
    <w:p w14:paraId="6F9AB1FE" w14:textId="672D9020" w:rsidR="00CE2154" w:rsidRPr="005E3EE9" w:rsidRDefault="00CE2154" w:rsidP="003F5E6D">
      <w:pPr>
        <w:pStyle w:val="ListParagraph"/>
        <w:numPr>
          <w:ilvl w:val="0"/>
          <w:numId w:val="1"/>
        </w:numPr>
        <w:ind w:right="-432"/>
        <w:jc w:val="both"/>
      </w:pPr>
      <w:r w:rsidRPr="005E3EE9">
        <w:t xml:space="preserve">Points per win will be available for all events in the </w:t>
      </w:r>
      <w:proofErr w:type="spellStart"/>
      <w:r w:rsidRPr="005E3EE9">
        <w:t>P</w:t>
      </w:r>
      <w:r w:rsidR="00720BA6">
        <w:t>laydown</w:t>
      </w:r>
      <w:r w:rsidR="003F5E6D">
        <w:t>s</w:t>
      </w:r>
      <w:proofErr w:type="spellEnd"/>
      <w:r w:rsidR="00720BA6">
        <w:t>/Special events category</w:t>
      </w:r>
      <w:r w:rsidRPr="005E3EE9">
        <w:t xml:space="preserve"> and for events in the </w:t>
      </w:r>
      <w:r w:rsidR="004E1D11">
        <w:t>Tour Cashspiel</w:t>
      </w:r>
      <w:r w:rsidRPr="005E3EE9">
        <w:t xml:space="preserve"> category </w:t>
      </w:r>
      <w:r w:rsidR="00B57ED1" w:rsidRPr="005E3EE9">
        <w:t>for non-playoff teams only</w:t>
      </w:r>
      <w:r w:rsidRPr="005E3EE9">
        <w:t>. These points per win will be rewarde</w:t>
      </w:r>
      <w:r w:rsidR="00B57ED1" w:rsidRPr="005E3EE9">
        <w:t>d as per:</w:t>
      </w:r>
    </w:p>
    <w:p w14:paraId="33C6D749" w14:textId="77777777" w:rsidR="00B57ED1" w:rsidRPr="005E3EE9" w:rsidRDefault="00B57ED1" w:rsidP="009348BE">
      <w:pPr>
        <w:pStyle w:val="ListParagraph"/>
        <w:ind w:right="-432"/>
      </w:pPr>
    </w:p>
    <w:p w14:paraId="6155DDE4" w14:textId="59FF12AF" w:rsidR="00B57ED1" w:rsidRPr="005E3EE9" w:rsidRDefault="00B57ED1" w:rsidP="003F5E6D">
      <w:pPr>
        <w:pStyle w:val="ListParagraph"/>
        <w:numPr>
          <w:ilvl w:val="1"/>
          <w:numId w:val="1"/>
        </w:numPr>
        <w:ind w:right="-432"/>
        <w:jc w:val="both"/>
      </w:pPr>
      <w:r w:rsidRPr="005E3EE9">
        <w:t xml:space="preserve">3 points-per-win: The 4 GSOC Slam’s, </w:t>
      </w:r>
      <w:r w:rsidR="00C23BF5" w:rsidRPr="005E3EE9">
        <w:t xml:space="preserve">Olympic Trials, </w:t>
      </w:r>
      <w:r w:rsidRPr="005E3EE9">
        <w:t>Olympics</w:t>
      </w:r>
      <w:r w:rsidR="00C23BF5" w:rsidRPr="005E3EE9">
        <w:t xml:space="preserve"> and Federation Sanctioned events with more than 50% Top</w:t>
      </w:r>
      <w:r w:rsidR="003F5E6D">
        <w:t xml:space="preserve"> </w:t>
      </w:r>
      <w:r w:rsidR="00C23BF5" w:rsidRPr="005E3EE9">
        <w:t>20 teams (Canada Cup, Europeans, etc.)</w:t>
      </w:r>
      <w:r w:rsidRPr="005E3EE9">
        <w:t>.</w:t>
      </w:r>
    </w:p>
    <w:p w14:paraId="079D661E" w14:textId="40161AE2" w:rsidR="00B57ED1" w:rsidRPr="005E3EE9" w:rsidRDefault="00B57ED1" w:rsidP="003F5E6D">
      <w:pPr>
        <w:pStyle w:val="ListParagraph"/>
        <w:numPr>
          <w:ilvl w:val="1"/>
          <w:numId w:val="1"/>
        </w:numPr>
        <w:ind w:right="-432"/>
        <w:jc w:val="both"/>
      </w:pPr>
      <w:r w:rsidRPr="005E3EE9">
        <w:t xml:space="preserve">2 points-per-win: </w:t>
      </w:r>
      <w:r w:rsidR="00C23BF5" w:rsidRPr="005E3EE9">
        <w:t>National/World Championships, non-Slam GSOC events and Federation Sanctioned events with fewer than 50% Top20 teams.</w:t>
      </w:r>
    </w:p>
    <w:p w14:paraId="2CEDC8B1" w14:textId="77777777" w:rsidR="00C35FED" w:rsidRDefault="00E6388C" w:rsidP="003F5E6D">
      <w:pPr>
        <w:pStyle w:val="ListParagraph"/>
        <w:numPr>
          <w:ilvl w:val="1"/>
          <w:numId w:val="1"/>
        </w:numPr>
        <w:ind w:right="-432"/>
        <w:jc w:val="both"/>
      </w:pPr>
      <w:r>
        <w:t>Events in the Tour Cashspiel category, and all events that do not fit into one of the 2 above categories, will also award po</w:t>
      </w:r>
      <w:r w:rsidR="00C35FED">
        <w:t xml:space="preserve">ints-per-win.  After the final </w:t>
      </w:r>
      <w:r>
        <w:t>SFM value has been cal</w:t>
      </w:r>
      <w:r w:rsidR="00C35FED">
        <w:t>culated, they will receive 0.15</w:t>
      </w:r>
      <w:r>
        <w:t xml:space="preserve">*SFM value worth for points-per-win. </w:t>
      </w:r>
    </w:p>
    <w:p w14:paraId="76F27A35" w14:textId="304A73AB" w:rsidR="00B57ED1" w:rsidRPr="005E3EE9" w:rsidRDefault="00C35FED" w:rsidP="003F5E6D">
      <w:pPr>
        <w:pStyle w:val="ListParagraph"/>
        <w:numPr>
          <w:ilvl w:val="2"/>
          <w:numId w:val="1"/>
        </w:numPr>
        <w:ind w:right="-432"/>
        <w:jc w:val="both"/>
      </w:pPr>
      <w:r>
        <w:t xml:space="preserve">For example: </w:t>
      </w:r>
      <w:r w:rsidR="00E6388C">
        <w:t>The Tour Cashspiel events have a max</w:t>
      </w:r>
      <w:r w:rsidR="003F5E6D">
        <w:t>imum</w:t>
      </w:r>
      <w:r w:rsidR="00E6388C">
        <w:t xml:space="preserve"> scaled-SFM value of 5, therefore </w:t>
      </w:r>
      <w:r>
        <w:t>if both the purse factor and teams factor are maximized (1.25 and 1.5 respectively)</w:t>
      </w:r>
      <w:r w:rsidR="003F5E6D">
        <w:t>,</w:t>
      </w:r>
      <w:r>
        <w:t xml:space="preserve"> the final SFM is 9.375. Teams playing this event would therefore receive 9.375*0.15 = 1.4 points per win for non-playoff teams only.</w:t>
      </w:r>
    </w:p>
    <w:p w14:paraId="3622A452" w14:textId="77777777" w:rsidR="00F449B8" w:rsidRPr="005E3EE9" w:rsidRDefault="00F449B8" w:rsidP="009348BE">
      <w:pPr>
        <w:pStyle w:val="ListParagraph"/>
        <w:ind w:left="1440" w:right="-432"/>
        <w:rPr>
          <w:rFonts w:ascii="Cambria Math" w:hAnsi="Cambria Math"/>
        </w:rPr>
      </w:pPr>
    </w:p>
    <w:p w14:paraId="559D7794" w14:textId="6C3624AF" w:rsidR="00F449B8" w:rsidRPr="005E3EE9" w:rsidRDefault="00F449B8" w:rsidP="009348BE">
      <w:pPr>
        <w:ind w:right="-432"/>
        <w:rPr>
          <w:rFonts w:ascii="Cambria Math" w:hAnsi="Cambria Math"/>
        </w:rPr>
      </w:pPr>
      <w:r w:rsidRPr="005E3EE9">
        <w:rPr>
          <w:rFonts w:ascii="Cambria Math" w:hAnsi="Cambria Math"/>
        </w:rPr>
        <w:t xml:space="preserve">See Appendix A for </w:t>
      </w:r>
      <w:r w:rsidR="004E1D11">
        <w:rPr>
          <w:rFonts w:ascii="Cambria Math" w:hAnsi="Cambria Math"/>
        </w:rPr>
        <w:t>Tour Cashspiel</w:t>
      </w:r>
      <w:r w:rsidR="00F6778C" w:rsidRPr="005E3EE9">
        <w:rPr>
          <w:rFonts w:ascii="Cambria Math" w:hAnsi="Cambria Math"/>
        </w:rPr>
        <w:t xml:space="preserve"> </w:t>
      </w:r>
      <w:r w:rsidRPr="005E3EE9">
        <w:rPr>
          <w:rFonts w:ascii="Cambria Math" w:hAnsi="Cambria Math"/>
        </w:rPr>
        <w:t>examples from the 2014-15 season.</w:t>
      </w:r>
    </w:p>
    <w:p w14:paraId="608F70BF" w14:textId="77777777" w:rsidR="002758FC" w:rsidRPr="005E3EE9" w:rsidRDefault="002758FC" w:rsidP="009348BE">
      <w:pPr>
        <w:pStyle w:val="ListParagraph"/>
        <w:ind w:left="1440" w:right="-432"/>
      </w:pPr>
    </w:p>
    <w:p w14:paraId="02FF91F5" w14:textId="1597C163" w:rsidR="002758FC" w:rsidRPr="00F7542C" w:rsidRDefault="00E94B34" w:rsidP="009348BE">
      <w:pPr>
        <w:ind w:right="-432"/>
        <w:rPr>
          <w:b/>
        </w:rPr>
      </w:pPr>
      <w:r w:rsidRPr="00F7542C">
        <w:rPr>
          <w:b/>
        </w:rPr>
        <w:t xml:space="preserve">1. </w:t>
      </w:r>
      <w:r w:rsidR="004E1D11">
        <w:rPr>
          <w:b/>
        </w:rPr>
        <w:t>Tour Cashspiel</w:t>
      </w:r>
      <w:r w:rsidRPr="00F7542C">
        <w:rPr>
          <w:b/>
        </w:rPr>
        <w:t xml:space="preserve"> rules:</w:t>
      </w:r>
    </w:p>
    <w:p w14:paraId="5AA1D612" w14:textId="77777777" w:rsidR="00F7542C" w:rsidRDefault="00F7542C" w:rsidP="009348BE">
      <w:pPr>
        <w:ind w:right="-432"/>
      </w:pPr>
    </w:p>
    <w:p w14:paraId="2CAF00A1" w14:textId="405CC1CB" w:rsidR="00F7542C" w:rsidRDefault="00F7542C" w:rsidP="009348BE">
      <w:pPr>
        <w:ind w:right="-432"/>
      </w:pPr>
      <w:r>
        <w:t>Any event in the world can be sanctioned as a CTRS/OOM qualifying event if it meets the following criteria:</w:t>
      </w:r>
    </w:p>
    <w:p w14:paraId="41836D73" w14:textId="77777777" w:rsidR="00243310" w:rsidRPr="003F5E6D" w:rsidRDefault="00243310" w:rsidP="009348BE">
      <w:pPr>
        <w:ind w:right="-432"/>
      </w:pPr>
    </w:p>
    <w:p w14:paraId="32410C29" w14:textId="50B0E39B" w:rsidR="00F7542C" w:rsidRPr="003F5E6D" w:rsidRDefault="009B3209" w:rsidP="009348BE">
      <w:pPr>
        <w:ind w:left="851" w:right="-432" w:hanging="491"/>
      </w:pPr>
      <w:r w:rsidRPr="003F5E6D">
        <w:t>A</w:t>
      </w:r>
      <w:r w:rsidR="00574F9C" w:rsidRPr="003F5E6D">
        <w:t xml:space="preserve">.    </w:t>
      </w:r>
      <w:r w:rsidR="00F7542C" w:rsidRPr="003F5E6D">
        <w:t xml:space="preserve">The event </w:t>
      </w:r>
      <w:r w:rsidR="00543F31" w:rsidRPr="003F5E6D">
        <w:t>must have a min</w:t>
      </w:r>
      <w:r w:rsidR="000B335D" w:rsidRPr="003F5E6D">
        <w:t>imum number of 12 for men’s or 10</w:t>
      </w:r>
      <w:r w:rsidR="00F7542C" w:rsidRPr="003F5E6D">
        <w:t xml:space="preserve"> teams</w:t>
      </w:r>
      <w:r w:rsidR="00543F31" w:rsidRPr="003F5E6D">
        <w:t xml:space="preserve"> for women’s events.</w:t>
      </w:r>
    </w:p>
    <w:p w14:paraId="52A5AA1E" w14:textId="353376AB" w:rsidR="00F7542C" w:rsidRPr="003F5E6D" w:rsidRDefault="009B3209" w:rsidP="009348BE">
      <w:pPr>
        <w:ind w:left="851" w:right="-432" w:hanging="491"/>
      </w:pPr>
      <w:r w:rsidRPr="003F5E6D">
        <w:t>B</w:t>
      </w:r>
      <w:r w:rsidR="00574F9C" w:rsidRPr="003F5E6D">
        <w:t xml:space="preserve">.    </w:t>
      </w:r>
      <w:r w:rsidR="00F7542C" w:rsidRPr="003F5E6D">
        <w:t>The total cash purse divided by the number of teams must be at least $</w:t>
      </w:r>
      <w:r w:rsidR="00543F31" w:rsidRPr="003F5E6D">
        <w:t>3</w:t>
      </w:r>
      <w:r w:rsidR="00F7542C" w:rsidRPr="003F5E6D">
        <w:t>00/team.</w:t>
      </w:r>
    </w:p>
    <w:p w14:paraId="2039EF06" w14:textId="02C02194" w:rsidR="00F7542C" w:rsidRPr="00F7542C" w:rsidRDefault="00F7542C" w:rsidP="003F5E6D">
      <w:pPr>
        <w:pStyle w:val="ListParagraph"/>
        <w:numPr>
          <w:ilvl w:val="1"/>
          <w:numId w:val="1"/>
        </w:numPr>
        <w:ind w:right="-432"/>
        <w:jc w:val="both"/>
      </w:pPr>
      <w:r w:rsidRPr="005E3EE9">
        <w:t>International events will be converted to CAD</w:t>
      </w:r>
      <w:r w:rsidR="003F5E6D">
        <w:t>$</w:t>
      </w:r>
      <w:r w:rsidRPr="005E3EE9">
        <w:t xml:space="preserve"> to determine eligibility.</w:t>
      </w:r>
      <w:r w:rsidR="00ED7A83" w:rsidRPr="005E3EE9">
        <w:t xml:space="preserve"> This will</w:t>
      </w:r>
      <w:r w:rsidR="00ED7A83">
        <w:t xml:space="preserve"> be done a week prior to the event occurring.</w:t>
      </w:r>
    </w:p>
    <w:p w14:paraId="74ACF1DA" w14:textId="2E66A115" w:rsidR="00F7542C" w:rsidRPr="00F7542C" w:rsidRDefault="00F7542C" w:rsidP="009348BE">
      <w:pPr>
        <w:pStyle w:val="ListParagraph"/>
        <w:numPr>
          <w:ilvl w:val="0"/>
          <w:numId w:val="1"/>
        </w:numPr>
        <w:ind w:right="-432"/>
      </w:pPr>
      <w:r>
        <w:t>Acceptable formats are: round robin, double/triple knockout, and pools.</w:t>
      </w:r>
    </w:p>
    <w:p w14:paraId="679C8AFA" w14:textId="1FC602F6" w:rsidR="00E716C4" w:rsidRPr="00E716C4" w:rsidRDefault="00F7542C" w:rsidP="009348BE">
      <w:pPr>
        <w:pStyle w:val="ListParagraph"/>
        <w:numPr>
          <w:ilvl w:val="0"/>
          <w:numId w:val="1"/>
        </w:numPr>
        <w:ind w:right="-432"/>
      </w:pPr>
      <w:r>
        <w:t>The Four Rock Free Guard Zone r</w:t>
      </w:r>
      <w:r w:rsidR="000F77D4">
        <w:t>ule must be used for all games.</w:t>
      </w:r>
    </w:p>
    <w:p w14:paraId="5AF970BB" w14:textId="614DC3C1" w:rsidR="00F7542C" w:rsidRPr="002D15BB" w:rsidRDefault="00E716C4" w:rsidP="003F5E6D">
      <w:pPr>
        <w:pStyle w:val="ListParagraph"/>
        <w:numPr>
          <w:ilvl w:val="1"/>
          <w:numId w:val="1"/>
        </w:numPr>
        <w:ind w:right="-432"/>
        <w:jc w:val="both"/>
        <w:rPr>
          <w:b/>
        </w:rPr>
      </w:pPr>
      <w:r w:rsidRPr="002D15BB">
        <w:rPr>
          <w:b/>
        </w:rPr>
        <w:t>This rule does not apply to non-Grand Slam GSOC events that fall into this event type category.</w:t>
      </w:r>
      <w:r w:rsidR="00574F9C">
        <w:rPr>
          <w:b/>
        </w:rPr>
        <w:t xml:space="preserve"> These events may also play under the Five Rock Free Guard Zone rule.</w:t>
      </w:r>
    </w:p>
    <w:p w14:paraId="467568D3" w14:textId="474595F8" w:rsidR="00CE2154" w:rsidRPr="005E3EE9" w:rsidRDefault="000E28E1" w:rsidP="00753E79">
      <w:pPr>
        <w:pStyle w:val="ListParagraph"/>
        <w:numPr>
          <w:ilvl w:val="0"/>
          <w:numId w:val="1"/>
        </w:numPr>
        <w:ind w:right="-432"/>
      </w:pPr>
      <w:r>
        <w:t>All games in an event must be</w:t>
      </w:r>
      <w:r w:rsidR="00DE2C54">
        <w:t xml:space="preserve"> either 8 or 10 ends in length.</w:t>
      </w:r>
      <w:r w:rsidR="00753E79">
        <w:t xml:space="preserve"> </w:t>
      </w:r>
      <w:r w:rsidR="004E1D11">
        <w:t>Tiebreaker games may be 6 ends if required.</w:t>
      </w:r>
    </w:p>
    <w:p w14:paraId="4E4A05C3" w14:textId="44BD9DEE" w:rsidR="0050785F" w:rsidRPr="005E3EE9" w:rsidRDefault="000B335D" w:rsidP="003F5E6D">
      <w:pPr>
        <w:pStyle w:val="ListParagraph"/>
        <w:numPr>
          <w:ilvl w:val="0"/>
          <w:numId w:val="10"/>
        </w:numPr>
        <w:ind w:right="-432"/>
        <w:jc w:val="both"/>
      </w:pPr>
      <w:r w:rsidRPr="005E3EE9">
        <w:t>Events that have fewer teams than the above limit (12 for men and 10 for women) may qualify for points to a minimum of 8 teams</w:t>
      </w:r>
      <w:r w:rsidR="0050785F" w:rsidRPr="005E3EE9">
        <w:t xml:space="preserve"> (both genders)</w:t>
      </w:r>
      <w:r w:rsidRPr="005E3EE9">
        <w:t xml:space="preserve"> if the field contains at least half Top</w:t>
      </w:r>
      <w:r w:rsidR="003F5E6D">
        <w:t xml:space="preserve"> </w:t>
      </w:r>
      <w:r w:rsidRPr="005E3EE9">
        <w:t>20 teams as per the weekly OOM list</w:t>
      </w:r>
      <w:r w:rsidR="0050785F" w:rsidRPr="005E3EE9">
        <w:t>.  Events using this rule to qualify for OOM/CTRS points will use the discounted</w:t>
      </w:r>
      <w:r w:rsidR="001823F4" w:rsidRPr="005E3EE9">
        <w:t xml:space="preserve"> equation to calculate the team</w:t>
      </w:r>
      <w:r w:rsidR="0050785F" w:rsidRPr="005E3EE9">
        <w:t xml:space="preserve"> factor </w:t>
      </w:r>
      <w:r w:rsidR="001823F4" w:rsidRPr="005E3EE9">
        <w:t xml:space="preserve">contribution to SFM calculations </w:t>
      </w:r>
      <w:r w:rsidR="0050785F" w:rsidRPr="005E3EE9">
        <w:t>(i</w:t>
      </w:r>
      <w:r w:rsidR="003F5E6D">
        <w:t>.</w:t>
      </w:r>
      <w:r w:rsidR="0050785F" w:rsidRPr="005E3EE9">
        <w:t>e.</w:t>
      </w:r>
      <w:r w:rsidR="001823F4" w:rsidRPr="005E3EE9">
        <w:t xml:space="preserve"> an</w:t>
      </w:r>
      <w:r w:rsidR="0050785F" w:rsidRPr="005E3EE9">
        <w:t xml:space="preserve"> 8 team event has a factor of 0.5 - using the n/16 formula).</w:t>
      </w:r>
    </w:p>
    <w:p w14:paraId="21A42DEA" w14:textId="06829574" w:rsidR="0050785F" w:rsidRPr="005E3EE9" w:rsidRDefault="001823F4" w:rsidP="00753E79">
      <w:pPr>
        <w:pStyle w:val="ListParagraph"/>
        <w:numPr>
          <w:ilvl w:val="0"/>
          <w:numId w:val="10"/>
        </w:numPr>
        <w:ind w:right="-432"/>
        <w:jc w:val="both"/>
      </w:pPr>
      <w:r w:rsidRPr="005E3EE9">
        <w:t xml:space="preserve">Each region or tour will be eligible for 1 event per season that falls into a special “end-of-season” category. The event must be a sanctioned tour championship (ex: ECT championship). These events will use the regular </w:t>
      </w:r>
      <w:r w:rsidR="004E1D11">
        <w:t>Tour Cashspiel</w:t>
      </w:r>
      <w:r w:rsidRPr="005E3EE9">
        <w:t xml:space="preserve"> rules for calculating OOM/CTRS points, but have a reduced minimum teams limit of 6 (for both genders). If the event has fewer than the normal minimums (12/10 respectively) then the discounted equation will be used to calculate the team factor contribution to SFM calculations. (</w:t>
      </w:r>
      <w:proofErr w:type="gramStart"/>
      <w:r w:rsidRPr="005E3EE9">
        <w:t>the</w:t>
      </w:r>
      <w:proofErr w:type="gramEnd"/>
      <w:r w:rsidRPr="005E3EE9">
        <w:t xml:space="preserve"> minimum factor would be </w:t>
      </w:r>
      <w:r w:rsidR="0029320F" w:rsidRPr="005E3EE9">
        <w:t>0.375 for a 6 team event).</w:t>
      </w:r>
    </w:p>
    <w:p w14:paraId="047B29B6" w14:textId="735B6EA9" w:rsidR="00E716C4" w:rsidRPr="005E3EE9" w:rsidRDefault="00ED7A83" w:rsidP="00753E79">
      <w:pPr>
        <w:pStyle w:val="ListParagraph"/>
        <w:numPr>
          <w:ilvl w:val="0"/>
          <w:numId w:val="1"/>
        </w:numPr>
        <w:ind w:right="-432"/>
        <w:jc w:val="both"/>
      </w:pPr>
      <w:r w:rsidRPr="005E3EE9">
        <w:t xml:space="preserve">CTRS/OOM </w:t>
      </w:r>
      <w:r w:rsidR="0020057F" w:rsidRPr="005E3EE9">
        <w:t xml:space="preserve">playoff </w:t>
      </w:r>
      <w:r w:rsidRPr="005E3EE9">
        <w:t xml:space="preserve">points are available to the top </w:t>
      </w:r>
      <w:r w:rsidR="0020057F" w:rsidRPr="005E3EE9">
        <w:t>half of the field</w:t>
      </w:r>
      <w:r w:rsidR="004B39BE" w:rsidRPr="005E3EE9">
        <w:t xml:space="preserve"> (rounding down)</w:t>
      </w:r>
      <w:r w:rsidR="0020057F" w:rsidRPr="005E3EE9">
        <w:t xml:space="preserve"> to a maximum of 8 teams.  Events with 16+ teams will therefore generate 8 teams with playoff poi</w:t>
      </w:r>
      <w:r w:rsidR="004B39BE" w:rsidRPr="005E3EE9">
        <w:t xml:space="preserve">nts </w:t>
      </w:r>
      <w:r w:rsidR="00C23BF5" w:rsidRPr="005E3EE9">
        <w:t>and events with 12-13 teams can</w:t>
      </w:r>
      <w:r w:rsidR="004B39BE" w:rsidRPr="005E3EE9">
        <w:t xml:space="preserve"> generate playoff points to the top 6, and etc. </w:t>
      </w:r>
    </w:p>
    <w:p w14:paraId="600670B2" w14:textId="77777777" w:rsidR="0020057F" w:rsidRPr="005E3EE9" w:rsidRDefault="0020057F" w:rsidP="009348BE">
      <w:pPr>
        <w:pStyle w:val="ListParagraph"/>
        <w:ind w:right="-432"/>
      </w:pPr>
    </w:p>
    <w:p w14:paraId="303DFA99" w14:textId="47BC0975" w:rsidR="00E716C4" w:rsidRPr="005E3EE9" w:rsidRDefault="00E716C4" w:rsidP="009348BE">
      <w:pPr>
        <w:ind w:right="-432"/>
      </w:pPr>
      <w:r w:rsidRPr="005E3EE9">
        <w:t xml:space="preserve">Other rules for the </w:t>
      </w:r>
      <w:r w:rsidR="004E1D11">
        <w:t>Tour Cashspiel</w:t>
      </w:r>
      <w:r w:rsidRPr="005E3EE9">
        <w:t xml:space="preserve"> category are:</w:t>
      </w:r>
    </w:p>
    <w:p w14:paraId="54C38677" w14:textId="77777777" w:rsidR="00E716C4" w:rsidRPr="00E716C4" w:rsidRDefault="00E716C4" w:rsidP="009348BE">
      <w:pPr>
        <w:ind w:right="-432"/>
      </w:pPr>
    </w:p>
    <w:p w14:paraId="208F194F" w14:textId="06128578" w:rsidR="00F7542C" w:rsidRPr="003F22DC" w:rsidRDefault="00F7542C" w:rsidP="00753E79">
      <w:pPr>
        <w:pStyle w:val="ListParagraph"/>
        <w:numPr>
          <w:ilvl w:val="0"/>
          <w:numId w:val="1"/>
        </w:numPr>
        <w:ind w:right="-432"/>
        <w:jc w:val="both"/>
      </w:pPr>
      <w:r>
        <w:t>For a team to count CTRS/OOM points toward their yearly to</w:t>
      </w:r>
      <w:r w:rsidR="003F22DC">
        <w:t>tal, they must have at least 3 of 4 of the registered players on the ice at all times during the event.</w:t>
      </w:r>
    </w:p>
    <w:p w14:paraId="2A46A124" w14:textId="77777777" w:rsidR="003F22DC" w:rsidRPr="003F22DC" w:rsidRDefault="003F22DC" w:rsidP="009348BE">
      <w:pPr>
        <w:pStyle w:val="ListParagraph"/>
        <w:numPr>
          <w:ilvl w:val="1"/>
          <w:numId w:val="1"/>
        </w:numPr>
        <w:ind w:right="-432"/>
      </w:pPr>
      <w:r>
        <w:t>This means during every end of every game.</w:t>
      </w:r>
    </w:p>
    <w:p w14:paraId="2EE79A2D" w14:textId="72A0994C" w:rsidR="003F22DC" w:rsidRPr="003F22DC" w:rsidRDefault="003F22DC" w:rsidP="009348BE">
      <w:pPr>
        <w:pStyle w:val="ListParagraph"/>
        <w:numPr>
          <w:ilvl w:val="1"/>
          <w:numId w:val="1"/>
        </w:numPr>
        <w:ind w:right="-432"/>
      </w:pPr>
      <w:r>
        <w:t>The duty rests on the team to indicate when they are not eligible.</w:t>
      </w:r>
    </w:p>
    <w:p w14:paraId="30E46D73" w14:textId="53972276" w:rsidR="003F22DC" w:rsidRPr="003F22DC" w:rsidRDefault="003F22DC" w:rsidP="00753E79">
      <w:pPr>
        <w:pStyle w:val="ListParagraph"/>
        <w:numPr>
          <w:ilvl w:val="1"/>
          <w:numId w:val="1"/>
        </w:numPr>
        <w:ind w:right="-432"/>
        <w:jc w:val="both"/>
      </w:pPr>
      <w:r>
        <w:t>Teams found in violation will lose all points for the event in question and subject to a penalty of 2 times the scaled SFM value (i</w:t>
      </w:r>
      <w:r w:rsidR="00753E79">
        <w:t>.</w:t>
      </w:r>
      <w:r>
        <w:t>e. if the scaled SFM value was 3.5 the penalty would be 7.0 points).</w:t>
      </w:r>
    </w:p>
    <w:p w14:paraId="613EC530" w14:textId="4E84AFE2" w:rsidR="003F22DC" w:rsidRPr="003F22DC" w:rsidRDefault="003F22DC" w:rsidP="00753E79">
      <w:pPr>
        <w:pStyle w:val="ListParagraph"/>
        <w:numPr>
          <w:ilvl w:val="0"/>
          <w:numId w:val="1"/>
        </w:numPr>
        <w:ind w:right="-432"/>
        <w:jc w:val="both"/>
      </w:pPr>
      <w:r>
        <w:t xml:space="preserve">Team changes - </w:t>
      </w:r>
      <w:r w:rsidRPr="003F22DC">
        <w:t>Due to the nature of testing out lineups, teams have until October 31st of the current season to finalize their lineup to earn points for the season. Should a team make a lineup change that will affect the opening season points or points earned during the season, changes will be made retroactively to reflect the new lineup.</w:t>
      </w:r>
    </w:p>
    <w:p w14:paraId="15803F10" w14:textId="7A3A700A" w:rsidR="003F22DC" w:rsidRPr="003F22DC" w:rsidRDefault="003F22DC" w:rsidP="009348BE">
      <w:pPr>
        <w:pStyle w:val="ListParagraph"/>
        <w:numPr>
          <w:ilvl w:val="0"/>
          <w:numId w:val="1"/>
        </w:numPr>
        <w:ind w:right="-432"/>
      </w:pPr>
      <w:r>
        <w:t>The SFM value will be calculated on the Tuesday prior to the event in question.</w:t>
      </w:r>
    </w:p>
    <w:p w14:paraId="4144749D" w14:textId="562B134B" w:rsidR="003F22DC" w:rsidRPr="003F22DC" w:rsidRDefault="003F22DC" w:rsidP="00753E79">
      <w:pPr>
        <w:pStyle w:val="ListParagraph"/>
        <w:numPr>
          <w:ilvl w:val="0"/>
          <w:numId w:val="1"/>
        </w:numPr>
        <w:ind w:right="-432"/>
        <w:jc w:val="both"/>
      </w:pPr>
      <w:r>
        <w:t xml:space="preserve">After scaling the SFM to the 24-team format there is a maximum value of 5.0 for all events in the </w:t>
      </w:r>
      <w:r w:rsidR="004E1D11">
        <w:t>Tour Cashspiel</w:t>
      </w:r>
      <w:r>
        <w:t xml:space="preserve"> category. </w:t>
      </w:r>
    </w:p>
    <w:p w14:paraId="7E01C300" w14:textId="582299AF" w:rsidR="003F22DC" w:rsidRPr="003F22DC" w:rsidRDefault="003F22DC" w:rsidP="009348BE">
      <w:pPr>
        <w:pStyle w:val="ListParagraph"/>
        <w:numPr>
          <w:ilvl w:val="1"/>
          <w:numId w:val="1"/>
        </w:numPr>
        <w:ind w:right="-432"/>
      </w:pPr>
      <w:r>
        <w:t>There is no minimum SFM value if an event meets the other criteria.</w:t>
      </w:r>
    </w:p>
    <w:p w14:paraId="6F40FA8B" w14:textId="6811DAC3" w:rsidR="00E716C4" w:rsidRPr="005E3EE9" w:rsidRDefault="00E716C4" w:rsidP="00753E79">
      <w:pPr>
        <w:pStyle w:val="ListParagraph"/>
        <w:numPr>
          <w:ilvl w:val="0"/>
          <w:numId w:val="1"/>
        </w:numPr>
        <w:ind w:right="-432"/>
        <w:jc w:val="both"/>
      </w:pPr>
      <w:r>
        <w:t xml:space="preserve">Due diligence - </w:t>
      </w:r>
      <w:r w:rsidR="004E1D11">
        <w:t>Tour Cashspiel</w:t>
      </w:r>
      <w:r>
        <w:t>s</w:t>
      </w:r>
      <w:r w:rsidRPr="00E716C4">
        <w:t xml:space="preserve"> register their events for sanctioning in good faith with the </w:t>
      </w:r>
      <w:r>
        <w:t>CTRS/</w:t>
      </w:r>
      <w:r w:rsidRPr="00E716C4">
        <w:t xml:space="preserve">OOM. Should an event actually not deliver the minimum criteria </w:t>
      </w:r>
      <w:r w:rsidRPr="005E3EE9">
        <w:t>required, the event will be taken off the board and the points will be taken away (teams will be advised when this occurs)</w:t>
      </w:r>
      <w:r w:rsidR="00753E79">
        <w:t>.</w:t>
      </w:r>
    </w:p>
    <w:p w14:paraId="54EE911B" w14:textId="447F6833" w:rsidR="004B39BE" w:rsidRPr="005E3EE9" w:rsidRDefault="004B39BE" w:rsidP="009348BE">
      <w:pPr>
        <w:pStyle w:val="ListParagraph"/>
        <w:numPr>
          <w:ilvl w:val="0"/>
          <w:numId w:val="1"/>
        </w:numPr>
        <w:ind w:right="-432"/>
      </w:pPr>
      <w:r w:rsidRPr="005E3EE9">
        <w:t xml:space="preserve">Mixed gender events will generally not be considered for CTRS/OOM </w:t>
      </w:r>
      <w:r w:rsidR="009640B5" w:rsidRPr="005E3EE9">
        <w:t>inclusion</w:t>
      </w:r>
      <w:r w:rsidRPr="005E3EE9">
        <w:t>.</w:t>
      </w:r>
    </w:p>
    <w:p w14:paraId="504BA3B8" w14:textId="6D9452B8" w:rsidR="004B39BE" w:rsidRPr="005E3EE9" w:rsidRDefault="004B39BE" w:rsidP="009348BE">
      <w:pPr>
        <w:pStyle w:val="ListParagraph"/>
        <w:numPr>
          <w:ilvl w:val="1"/>
          <w:numId w:val="1"/>
        </w:numPr>
        <w:ind w:right="-432"/>
      </w:pPr>
      <w:r w:rsidRPr="005E3EE9">
        <w:t xml:space="preserve">Women’s teams will be allowed to enter the men’s division of a spiel </w:t>
      </w:r>
      <w:r w:rsidRPr="005E3EE9">
        <w:rPr>
          <w:b/>
          <w:u w:val="single"/>
        </w:rPr>
        <w:t>if</w:t>
      </w:r>
      <w:r w:rsidRPr="005E3EE9">
        <w:t xml:space="preserve"> there is no women’s </w:t>
      </w:r>
      <w:r w:rsidR="00630C5A" w:rsidRPr="005E3EE9">
        <w:t>division available.</w:t>
      </w:r>
    </w:p>
    <w:p w14:paraId="00919F2E" w14:textId="5A07BD30" w:rsidR="00630C5A" w:rsidRPr="005E3EE9" w:rsidRDefault="00630C5A" w:rsidP="009348BE">
      <w:pPr>
        <w:pStyle w:val="ListParagraph"/>
        <w:numPr>
          <w:ilvl w:val="1"/>
          <w:numId w:val="1"/>
        </w:numPr>
        <w:ind w:right="-432"/>
      </w:pPr>
      <w:r w:rsidRPr="005E3EE9">
        <w:t>Women’s teams using this rule will be ineligible to collect any CTRS/OOM points from the event as their play will be considered as “training purposes only”.</w:t>
      </w:r>
    </w:p>
    <w:p w14:paraId="532FC76A" w14:textId="4CBE7831" w:rsidR="00630C5A" w:rsidRPr="005E3EE9" w:rsidRDefault="00630C5A" w:rsidP="009348BE">
      <w:pPr>
        <w:pStyle w:val="ListParagraph"/>
        <w:numPr>
          <w:ilvl w:val="1"/>
          <w:numId w:val="1"/>
        </w:numPr>
        <w:ind w:right="-432"/>
      </w:pPr>
      <w:r w:rsidRPr="005E3EE9">
        <w:t>If an event has more than 25% women’s teams then the entire event will become ineligible for CTRS/OOM inclusion.</w:t>
      </w:r>
    </w:p>
    <w:p w14:paraId="1831E22C" w14:textId="6933D09D" w:rsidR="00630C5A" w:rsidRPr="005E3EE9" w:rsidRDefault="00630C5A" w:rsidP="00753E79">
      <w:pPr>
        <w:pStyle w:val="ListParagraph"/>
        <w:numPr>
          <w:ilvl w:val="1"/>
          <w:numId w:val="1"/>
        </w:numPr>
        <w:ind w:right="-432"/>
        <w:jc w:val="both"/>
      </w:pPr>
      <w:r w:rsidRPr="005E3EE9">
        <w:t>The SFM calculations will include a 0 contribution for the women’s team entry, thus diluting the scaled-SFM number for the men’s teams eligible to collect points from the event.</w:t>
      </w:r>
    </w:p>
    <w:p w14:paraId="54A3E208" w14:textId="6DA83630" w:rsidR="00E716C4" w:rsidRPr="009640B5" w:rsidRDefault="00E716C4" w:rsidP="009348BE">
      <w:pPr>
        <w:pStyle w:val="ListParagraph"/>
        <w:numPr>
          <w:ilvl w:val="1"/>
          <w:numId w:val="1"/>
        </w:numPr>
        <w:ind w:right="-432"/>
      </w:pPr>
      <w:r w:rsidRPr="005E3EE9">
        <w:t>Teams must use spares from their</w:t>
      </w:r>
      <w:r w:rsidRPr="009640B5">
        <w:t xml:space="preserve"> own gender to be e</w:t>
      </w:r>
      <w:r w:rsidR="00630C5A" w:rsidRPr="009640B5">
        <w:t>ligible for any CTRS/OOM points (no mixed gender teams allowed).</w:t>
      </w:r>
    </w:p>
    <w:p w14:paraId="006158DF" w14:textId="77777777" w:rsidR="00E716C4" w:rsidRPr="009640B5" w:rsidRDefault="00E716C4" w:rsidP="009348BE">
      <w:pPr>
        <w:pStyle w:val="ListParagraph"/>
        <w:numPr>
          <w:ilvl w:val="2"/>
          <w:numId w:val="1"/>
        </w:numPr>
        <w:ind w:right="-432"/>
      </w:pPr>
      <w:r w:rsidRPr="009640B5">
        <w:t>The duty rests on the team to indicate when they are not eligible.</w:t>
      </w:r>
    </w:p>
    <w:p w14:paraId="319B07CD" w14:textId="77777777" w:rsidR="00E716C4" w:rsidRPr="009640B5" w:rsidRDefault="00E716C4" w:rsidP="00753E79">
      <w:pPr>
        <w:pStyle w:val="ListParagraph"/>
        <w:numPr>
          <w:ilvl w:val="2"/>
          <w:numId w:val="1"/>
        </w:numPr>
        <w:ind w:right="-432"/>
        <w:jc w:val="both"/>
      </w:pPr>
      <w:r w:rsidRPr="009640B5">
        <w:t>Teams found in violation will lose all points for the event in question and subject to a penalty of 2 times the scaled SFM value (</w:t>
      </w:r>
      <w:proofErr w:type="spellStart"/>
      <w:r w:rsidRPr="009640B5">
        <w:t>ie</w:t>
      </w:r>
      <w:proofErr w:type="spellEnd"/>
      <w:r w:rsidRPr="009640B5">
        <w:t>. if the scaled SFM value was 3.5 the penalty would be 7.0 points).</w:t>
      </w:r>
    </w:p>
    <w:p w14:paraId="57C71DC5" w14:textId="02E46BFA" w:rsidR="00E716C4" w:rsidRPr="00E716C4" w:rsidRDefault="00E716C4" w:rsidP="009348BE">
      <w:pPr>
        <w:pStyle w:val="ListParagraph"/>
        <w:numPr>
          <w:ilvl w:val="0"/>
          <w:numId w:val="1"/>
        </w:numPr>
        <w:ind w:right="-432"/>
      </w:pPr>
      <w:r>
        <w:t>Events qualifying more than 8 teams must be able to distinguish the final 8 to be eligible for CTRS/OOM inclusion.</w:t>
      </w:r>
    </w:p>
    <w:p w14:paraId="1BF3D13F" w14:textId="5C7DBB22" w:rsidR="00E716C4" w:rsidRDefault="00E716C4" w:rsidP="00753E79">
      <w:pPr>
        <w:pStyle w:val="ListParagraph"/>
        <w:numPr>
          <w:ilvl w:val="0"/>
          <w:numId w:val="1"/>
        </w:numPr>
        <w:ind w:right="-432"/>
        <w:jc w:val="both"/>
      </w:pPr>
      <w:r>
        <w:t xml:space="preserve">Note to </w:t>
      </w:r>
      <w:r w:rsidR="004E1D11">
        <w:t>Tour Cashspiel</w:t>
      </w:r>
      <w:r>
        <w:t xml:space="preserve"> organizers - F</w:t>
      </w:r>
      <w:r w:rsidRPr="00E716C4">
        <w:t xml:space="preserve">or your event to be eligible to offer </w:t>
      </w:r>
      <w:r>
        <w:t>CTRS/</w:t>
      </w:r>
      <w:r w:rsidRPr="00E716C4">
        <w:t>OOM points, you must register the event as soon as possible with the event name, all contact information, playing dates, number of entries, format, prize purse and entry fee. You will also be required to submit a list of competing skips to the OOM no later than the day before the first day of your event. At the conclusion of the event you will also be required to submit results.</w:t>
      </w:r>
    </w:p>
    <w:p w14:paraId="686A39BF" w14:textId="0B971C39" w:rsidR="00590532" w:rsidRDefault="000E28E1" w:rsidP="00753E79">
      <w:pPr>
        <w:pStyle w:val="ListParagraph"/>
        <w:numPr>
          <w:ilvl w:val="1"/>
          <w:numId w:val="1"/>
        </w:numPr>
        <w:ind w:right="-432"/>
        <w:jc w:val="both"/>
      </w:pPr>
      <w:r>
        <w:t>Registering is free, a</w:t>
      </w:r>
      <w:r w:rsidR="001460C9">
        <w:t xml:space="preserve">nd can be done through Gerry </w:t>
      </w:r>
      <w:proofErr w:type="spellStart"/>
      <w:r w:rsidR="001460C9">
        <w:t>Geu</w:t>
      </w:r>
      <w:r>
        <w:t>rts</w:t>
      </w:r>
      <w:proofErr w:type="spellEnd"/>
      <w:r>
        <w:t xml:space="preserve"> at </w:t>
      </w:r>
      <w:proofErr w:type="spellStart"/>
      <w:r>
        <w:t>Curl</w:t>
      </w:r>
      <w:r w:rsidR="00630C5A">
        <w:t>ingZone</w:t>
      </w:r>
      <w:proofErr w:type="spellEnd"/>
      <w:r w:rsidR="00630C5A">
        <w:t xml:space="preserve"> (</w:t>
      </w:r>
      <w:r w:rsidR="002D462A">
        <w:t>gerry@curlingzone.com</w:t>
      </w:r>
      <w:r w:rsidR="00630C5A">
        <w:t>)</w:t>
      </w:r>
    </w:p>
    <w:p w14:paraId="69059F22" w14:textId="77777777" w:rsidR="002D462A" w:rsidRDefault="002D462A" w:rsidP="009348BE">
      <w:pPr>
        <w:pStyle w:val="ListParagraph"/>
        <w:ind w:left="1440" w:right="-432"/>
      </w:pPr>
    </w:p>
    <w:p w14:paraId="5558970B" w14:textId="77777777" w:rsidR="002D462A" w:rsidRDefault="002D462A" w:rsidP="00753E79">
      <w:pPr>
        <w:ind w:right="-432"/>
      </w:pPr>
    </w:p>
    <w:p w14:paraId="762B6C48" w14:textId="16BFF013" w:rsidR="00B422B9" w:rsidRPr="00B422B9" w:rsidRDefault="00B422B9" w:rsidP="009348BE">
      <w:pPr>
        <w:ind w:right="-432"/>
        <w:rPr>
          <w:b/>
        </w:rPr>
      </w:pPr>
      <w:r w:rsidRPr="00B422B9">
        <w:rPr>
          <w:b/>
        </w:rPr>
        <w:t>2. Playdown/Special rules and calculations:</w:t>
      </w:r>
    </w:p>
    <w:p w14:paraId="28FC2093" w14:textId="77777777" w:rsidR="000E28E1" w:rsidRDefault="000E28E1" w:rsidP="009348BE">
      <w:pPr>
        <w:ind w:left="1080" w:right="-432"/>
      </w:pPr>
    </w:p>
    <w:p w14:paraId="53DDC4E8" w14:textId="0DC7ADA1" w:rsidR="008D2069" w:rsidRDefault="008D2069" w:rsidP="009348BE">
      <w:pPr>
        <w:ind w:right="-432"/>
      </w:pPr>
      <w:r>
        <w:t>Specific rules for this category of events are:</w:t>
      </w:r>
    </w:p>
    <w:p w14:paraId="6A0AB369" w14:textId="77777777" w:rsidR="00243310" w:rsidRDefault="00243310" w:rsidP="009348BE">
      <w:pPr>
        <w:ind w:right="-432"/>
      </w:pPr>
    </w:p>
    <w:p w14:paraId="36FFBC30" w14:textId="6B36AB8C" w:rsidR="008D2069" w:rsidRPr="005E3EE9" w:rsidRDefault="008D2069" w:rsidP="00753E79">
      <w:pPr>
        <w:pStyle w:val="ListParagraph"/>
        <w:numPr>
          <w:ilvl w:val="0"/>
          <w:numId w:val="1"/>
        </w:numPr>
        <w:ind w:right="-432"/>
        <w:jc w:val="both"/>
      </w:pPr>
      <w:r>
        <w:t xml:space="preserve">Only </w:t>
      </w:r>
      <w:r w:rsidRPr="005E3EE9">
        <w:t xml:space="preserve">the following events are eligible in this category: </w:t>
      </w:r>
      <w:r w:rsidR="00CC69FC" w:rsidRPr="005E3EE9">
        <w:t xml:space="preserve">Pre-provincial Qualification, </w:t>
      </w:r>
      <w:r w:rsidRPr="005E3EE9">
        <w:t>Provincials</w:t>
      </w:r>
      <w:r w:rsidR="00753E79">
        <w:t>/Territorials</w:t>
      </w:r>
      <w:r w:rsidRPr="005E3EE9">
        <w:t xml:space="preserve">, Nationals, Worlds, Olympic Trials, Olympics, </w:t>
      </w:r>
      <w:r w:rsidR="00CC69FC" w:rsidRPr="005E3EE9">
        <w:t>Sanctioned Federation Events (</w:t>
      </w:r>
      <w:r w:rsidR="0036079B" w:rsidRPr="005E3EE9">
        <w:t xml:space="preserve">Canada Cup, </w:t>
      </w:r>
      <w:r w:rsidRPr="005E3EE9">
        <w:t>Europeans</w:t>
      </w:r>
      <w:r w:rsidR="00CC69FC" w:rsidRPr="005E3EE9">
        <w:t>, etc.)</w:t>
      </w:r>
      <w:r w:rsidRPr="005E3EE9">
        <w:t xml:space="preserve">, and </w:t>
      </w:r>
      <w:r w:rsidR="00EE3735" w:rsidRPr="005E3EE9">
        <w:t xml:space="preserve">the 4 </w:t>
      </w:r>
      <w:r w:rsidR="00CC69FC" w:rsidRPr="005E3EE9">
        <w:t>GSOC</w:t>
      </w:r>
      <w:r w:rsidR="00EE3735" w:rsidRPr="005E3EE9">
        <w:t xml:space="preserve"> Slams.</w:t>
      </w:r>
    </w:p>
    <w:p w14:paraId="60185079" w14:textId="3C7D15ED" w:rsidR="0036079B" w:rsidRPr="005E3EE9" w:rsidRDefault="00C53D9C" w:rsidP="009348BE">
      <w:pPr>
        <w:pStyle w:val="ListParagraph"/>
        <w:numPr>
          <w:ilvl w:val="1"/>
          <w:numId w:val="1"/>
        </w:numPr>
        <w:ind w:right="-432"/>
      </w:pPr>
      <w:r w:rsidRPr="005E3EE9">
        <w:t>Events corresponding to Provincials/Nationals/Olympic Trials will be included for all countries</w:t>
      </w:r>
      <w:r w:rsidR="00CC69FC" w:rsidRPr="005E3EE9">
        <w:t>.</w:t>
      </w:r>
    </w:p>
    <w:p w14:paraId="114AB8E6" w14:textId="03EAF636" w:rsidR="00EE3735" w:rsidRPr="005E3EE9" w:rsidRDefault="00EE3735" w:rsidP="00753E79">
      <w:pPr>
        <w:pStyle w:val="ListParagraph"/>
        <w:numPr>
          <w:ilvl w:val="0"/>
          <w:numId w:val="1"/>
        </w:numPr>
        <w:ind w:right="-432"/>
        <w:jc w:val="both"/>
      </w:pPr>
      <w:r w:rsidRPr="005E3EE9">
        <w:t>The minimum number of tea</w:t>
      </w:r>
      <w:r w:rsidR="00CC69FC" w:rsidRPr="005E3EE9">
        <w:t>ms required for eligibility in the Playdown category (all events leading up to Worlds) is 2, while the minimum number in the Special Events category is 6</w:t>
      </w:r>
      <w:r w:rsidRPr="005E3EE9">
        <w:t>.</w:t>
      </w:r>
    </w:p>
    <w:p w14:paraId="6C523E1C" w14:textId="4BA163D1" w:rsidR="00EE3735" w:rsidRPr="005E3EE9" w:rsidRDefault="00F31D71" w:rsidP="009348BE">
      <w:pPr>
        <w:pStyle w:val="ListParagraph"/>
        <w:numPr>
          <w:ilvl w:val="1"/>
          <w:numId w:val="1"/>
        </w:numPr>
        <w:ind w:right="-432"/>
      </w:pPr>
      <w:r w:rsidRPr="005E3EE9">
        <w:t>Events that fall into the Special Event</w:t>
      </w:r>
      <w:r w:rsidR="00F449B8" w:rsidRPr="005E3EE9">
        <w:t xml:space="preserve"> category, but cannot reach this minimum will not be considered for CTRS/OOM inclusion.</w:t>
      </w:r>
    </w:p>
    <w:p w14:paraId="4FD7F506" w14:textId="22727847" w:rsidR="00F449B8" w:rsidRPr="005E3EE9" w:rsidRDefault="00F449B8" w:rsidP="00753E79">
      <w:pPr>
        <w:pStyle w:val="ListParagraph"/>
        <w:numPr>
          <w:ilvl w:val="0"/>
          <w:numId w:val="1"/>
        </w:numPr>
        <w:ind w:right="-432"/>
        <w:jc w:val="both"/>
      </w:pPr>
      <w:r w:rsidRPr="005E3EE9">
        <w:t>Teams finishing in the top half of the field will receive CTRS/OOM points to a maximum of 4 teams.</w:t>
      </w:r>
    </w:p>
    <w:p w14:paraId="28D253C7" w14:textId="27E4C173" w:rsidR="00F31D71" w:rsidRPr="005E3EE9" w:rsidRDefault="00F31D71" w:rsidP="009348BE">
      <w:pPr>
        <w:pStyle w:val="ListParagraph"/>
        <w:numPr>
          <w:ilvl w:val="1"/>
          <w:numId w:val="1"/>
        </w:numPr>
        <w:ind w:right="-432"/>
      </w:pPr>
      <w:r w:rsidRPr="005E3EE9">
        <w:t>In a 2 or 3-team event, only the top team will receive points.</w:t>
      </w:r>
    </w:p>
    <w:p w14:paraId="097F19DA" w14:textId="6FEA3FCB" w:rsidR="00F31D71" w:rsidRPr="005E3EE9" w:rsidRDefault="00F31D71" w:rsidP="009348BE">
      <w:pPr>
        <w:pStyle w:val="ListParagraph"/>
        <w:numPr>
          <w:ilvl w:val="1"/>
          <w:numId w:val="1"/>
        </w:numPr>
        <w:ind w:right="-432"/>
      </w:pPr>
      <w:r w:rsidRPr="005E3EE9">
        <w:t>In a 4 or 5</w:t>
      </w:r>
      <w:r w:rsidR="00C23BF5" w:rsidRPr="005E3EE9">
        <w:t>-team event, only the top 2 can</w:t>
      </w:r>
      <w:r w:rsidRPr="005E3EE9">
        <w:t xml:space="preserve"> receive points.</w:t>
      </w:r>
    </w:p>
    <w:p w14:paraId="681EAA67" w14:textId="38621ED3" w:rsidR="00F449B8" w:rsidRPr="005E3EE9" w:rsidRDefault="00F449B8" w:rsidP="009348BE">
      <w:pPr>
        <w:pStyle w:val="ListParagraph"/>
        <w:numPr>
          <w:ilvl w:val="1"/>
          <w:numId w:val="1"/>
        </w:numPr>
        <w:ind w:right="-432"/>
      </w:pPr>
      <w:r w:rsidRPr="005E3EE9">
        <w:t>In a 6 or 7</w:t>
      </w:r>
      <w:r w:rsidR="00C23BF5" w:rsidRPr="005E3EE9">
        <w:t xml:space="preserve">-team event only the top 3 can </w:t>
      </w:r>
      <w:r w:rsidRPr="005E3EE9">
        <w:t>receive points.</w:t>
      </w:r>
    </w:p>
    <w:p w14:paraId="1FD42B0B" w14:textId="2CCAE7FD" w:rsidR="0036079B" w:rsidRPr="005E3EE9" w:rsidRDefault="00C53D9C" w:rsidP="009348BE">
      <w:pPr>
        <w:pStyle w:val="ListParagraph"/>
        <w:numPr>
          <w:ilvl w:val="1"/>
          <w:numId w:val="1"/>
        </w:numPr>
        <w:ind w:right="-432"/>
      </w:pPr>
      <w:r w:rsidRPr="005E3EE9">
        <w:t>In</w:t>
      </w:r>
      <w:r w:rsidR="00F449B8" w:rsidRPr="005E3EE9">
        <w:t xml:space="preserve"> events w</w:t>
      </w:r>
      <w:r w:rsidR="00C23BF5" w:rsidRPr="005E3EE9">
        <w:t>ith 8+ teams only the top 4 can</w:t>
      </w:r>
      <w:r w:rsidR="00F449B8" w:rsidRPr="005E3EE9">
        <w:t xml:space="preserve"> receive points.</w:t>
      </w:r>
    </w:p>
    <w:p w14:paraId="474FD66B" w14:textId="1FD2CE60" w:rsidR="00C53D9C" w:rsidRDefault="00C53D9C" w:rsidP="009348BE">
      <w:pPr>
        <w:pStyle w:val="ListParagraph"/>
        <w:numPr>
          <w:ilvl w:val="2"/>
          <w:numId w:val="1"/>
        </w:numPr>
        <w:ind w:right="-432"/>
      </w:pPr>
      <w:r w:rsidRPr="005E3EE9">
        <w:t>The exclusion to this rule are the</w:t>
      </w:r>
      <w:r>
        <w:t xml:space="preserve"> 4 Grand Slams, which will receive points for the top 8 as per the base-point rubric explained </w:t>
      </w:r>
      <w:r w:rsidR="00F31D71">
        <w:t>earlier.</w:t>
      </w:r>
    </w:p>
    <w:p w14:paraId="57271E82" w14:textId="687B15FE" w:rsidR="00C53D9C" w:rsidRDefault="00C53D9C" w:rsidP="009348BE">
      <w:pPr>
        <w:pStyle w:val="ListParagraph"/>
        <w:numPr>
          <w:ilvl w:val="2"/>
          <w:numId w:val="1"/>
        </w:numPr>
        <w:ind w:right="-432"/>
      </w:pPr>
      <w:r>
        <w:t>For all other events in this category the rubric below will be implemented:</w:t>
      </w:r>
    </w:p>
    <w:p w14:paraId="6D4F8C6C" w14:textId="77777777" w:rsidR="00C53D9C" w:rsidRDefault="00C53D9C" w:rsidP="009348BE">
      <w:pPr>
        <w:pStyle w:val="ListParagraph"/>
        <w:ind w:left="2160" w:right="-432"/>
      </w:pPr>
    </w:p>
    <w:tbl>
      <w:tblPr>
        <w:tblStyle w:val="TableGrid"/>
        <w:tblW w:w="0" w:type="auto"/>
        <w:jc w:val="center"/>
        <w:tblInd w:w="720" w:type="dxa"/>
        <w:tblLook w:val="04A0" w:firstRow="1" w:lastRow="0" w:firstColumn="1" w:lastColumn="0" w:noHBand="0" w:noVBand="1"/>
      </w:tblPr>
      <w:tblGrid>
        <w:gridCol w:w="1656"/>
        <w:gridCol w:w="2268"/>
      </w:tblGrid>
      <w:tr w:rsidR="00C53D9C" w14:paraId="1E274E54" w14:textId="77777777" w:rsidTr="00C53D9C">
        <w:trPr>
          <w:jc w:val="center"/>
        </w:trPr>
        <w:tc>
          <w:tcPr>
            <w:tcW w:w="1656" w:type="dxa"/>
            <w:tcBorders>
              <w:bottom w:val="single" w:sz="4" w:space="0" w:color="auto"/>
            </w:tcBorders>
          </w:tcPr>
          <w:p w14:paraId="02F73877" w14:textId="77777777" w:rsidR="00C53D9C" w:rsidRDefault="00C53D9C" w:rsidP="009348BE">
            <w:pPr>
              <w:pStyle w:val="ListParagraph"/>
              <w:ind w:left="0" w:right="-432"/>
              <w:jc w:val="center"/>
            </w:pPr>
            <w:r>
              <w:t>Placing</w:t>
            </w:r>
          </w:p>
        </w:tc>
        <w:tc>
          <w:tcPr>
            <w:tcW w:w="2268" w:type="dxa"/>
            <w:tcBorders>
              <w:bottom w:val="single" w:sz="4" w:space="0" w:color="auto"/>
            </w:tcBorders>
          </w:tcPr>
          <w:p w14:paraId="613DE281" w14:textId="77777777" w:rsidR="00C53D9C" w:rsidRDefault="00C53D9C" w:rsidP="009348BE">
            <w:pPr>
              <w:pStyle w:val="ListParagraph"/>
              <w:ind w:left="0" w:right="-432"/>
              <w:jc w:val="center"/>
            </w:pPr>
            <w:r>
              <w:t>Base Point Value</w:t>
            </w:r>
          </w:p>
        </w:tc>
      </w:tr>
      <w:tr w:rsidR="00C53D9C" w14:paraId="2FE6C2C2" w14:textId="77777777" w:rsidTr="00C53D9C">
        <w:trPr>
          <w:jc w:val="center"/>
        </w:trPr>
        <w:tc>
          <w:tcPr>
            <w:tcW w:w="1656" w:type="dxa"/>
            <w:tcBorders>
              <w:top w:val="single" w:sz="4" w:space="0" w:color="auto"/>
              <w:left w:val="single" w:sz="4" w:space="0" w:color="auto"/>
              <w:bottom w:val="nil"/>
              <w:right w:val="single" w:sz="4" w:space="0" w:color="auto"/>
            </w:tcBorders>
          </w:tcPr>
          <w:p w14:paraId="64F4A05D" w14:textId="77777777" w:rsidR="00C53D9C" w:rsidRDefault="00C53D9C" w:rsidP="009348BE">
            <w:pPr>
              <w:pStyle w:val="ListParagraph"/>
              <w:ind w:left="0" w:right="-432"/>
              <w:jc w:val="center"/>
            </w:pPr>
            <w:r>
              <w:t>1</w:t>
            </w:r>
            <w:r w:rsidRPr="008043C8">
              <w:rPr>
                <w:vertAlign w:val="superscript"/>
              </w:rPr>
              <w:t>st</w:t>
            </w:r>
          </w:p>
        </w:tc>
        <w:tc>
          <w:tcPr>
            <w:tcW w:w="2268" w:type="dxa"/>
            <w:tcBorders>
              <w:top w:val="single" w:sz="4" w:space="0" w:color="auto"/>
              <w:left w:val="single" w:sz="4" w:space="0" w:color="auto"/>
              <w:bottom w:val="nil"/>
              <w:right w:val="single" w:sz="4" w:space="0" w:color="auto"/>
            </w:tcBorders>
          </w:tcPr>
          <w:p w14:paraId="17B9044D" w14:textId="2B600768" w:rsidR="00C53D9C" w:rsidRDefault="00C53D9C" w:rsidP="009348BE">
            <w:pPr>
              <w:pStyle w:val="ListParagraph"/>
              <w:ind w:left="0" w:right="-432"/>
              <w:jc w:val="center"/>
            </w:pPr>
            <w:r>
              <w:t>7</w:t>
            </w:r>
            <w:r w:rsidR="00753E79">
              <w:t>.00</w:t>
            </w:r>
          </w:p>
        </w:tc>
      </w:tr>
      <w:tr w:rsidR="00C53D9C" w14:paraId="1FF5E9B0" w14:textId="77777777" w:rsidTr="00C53D9C">
        <w:trPr>
          <w:jc w:val="center"/>
        </w:trPr>
        <w:tc>
          <w:tcPr>
            <w:tcW w:w="1656" w:type="dxa"/>
            <w:tcBorders>
              <w:top w:val="nil"/>
              <w:left w:val="single" w:sz="4" w:space="0" w:color="auto"/>
              <w:bottom w:val="nil"/>
              <w:right w:val="single" w:sz="4" w:space="0" w:color="auto"/>
            </w:tcBorders>
          </w:tcPr>
          <w:p w14:paraId="42CA5C93" w14:textId="77777777" w:rsidR="00C53D9C" w:rsidRDefault="00C53D9C" w:rsidP="009348BE">
            <w:pPr>
              <w:pStyle w:val="ListParagraph"/>
              <w:ind w:left="0" w:right="-432"/>
              <w:jc w:val="center"/>
            </w:pPr>
            <w:r>
              <w:t>2</w:t>
            </w:r>
            <w:r w:rsidRPr="008043C8">
              <w:rPr>
                <w:vertAlign w:val="superscript"/>
              </w:rPr>
              <w:t>nd</w:t>
            </w:r>
          </w:p>
        </w:tc>
        <w:tc>
          <w:tcPr>
            <w:tcW w:w="2268" w:type="dxa"/>
            <w:tcBorders>
              <w:top w:val="nil"/>
              <w:left w:val="single" w:sz="4" w:space="0" w:color="auto"/>
              <w:bottom w:val="nil"/>
              <w:right w:val="single" w:sz="4" w:space="0" w:color="auto"/>
            </w:tcBorders>
          </w:tcPr>
          <w:p w14:paraId="684E53E8" w14:textId="1E08E9D7" w:rsidR="00C53D9C" w:rsidRDefault="00C53D9C" w:rsidP="009348BE">
            <w:pPr>
              <w:pStyle w:val="ListParagraph"/>
              <w:ind w:left="0" w:right="-432"/>
              <w:jc w:val="center"/>
            </w:pPr>
            <w:r>
              <w:t>5</w:t>
            </w:r>
            <w:r w:rsidR="002A27EE">
              <w:t>.5</w:t>
            </w:r>
            <w:r w:rsidR="00753E79">
              <w:t>0</w:t>
            </w:r>
          </w:p>
        </w:tc>
      </w:tr>
      <w:tr w:rsidR="00C53D9C" w14:paraId="2E003028" w14:textId="77777777" w:rsidTr="00C53D9C">
        <w:trPr>
          <w:jc w:val="center"/>
        </w:trPr>
        <w:tc>
          <w:tcPr>
            <w:tcW w:w="1656" w:type="dxa"/>
            <w:tcBorders>
              <w:top w:val="nil"/>
              <w:left w:val="single" w:sz="4" w:space="0" w:color="auto"/>
              <w:bottom w:val="nil"/>
              <w:right w:val="single" w:sz="4" w:space="0" w:color="auto"/>
            </w:tcBorders>
          </w:tcPr>
          <w:p w14:paraId="3812C8D3" w14:textId="2FDA1C6C" w:rsidR="00C53D9C" w:rsidRDefault="00C53D9C" w:rsidP="009348BE">
            <w:pPr>
              <w:pStyle w:val="ListParagraph"/>
              <w:ind w:left="0" w:right="-432"/>
              <w:jc w:val="center"/>
            </w:pPr>
            <w:r>
              <w:t>3</w:t>
            </w:r>
            <w:r w:rsidRPr="008043C8">
              <w:rPr>
                <w:vertAlign w:val="superscript"/>
              </w:rPr>
              <w:t>rd</w:t>
            </w:r>
          </w:p>
        </w:tc>
        <w:tc>
          <w:tcPr>
            <w:tcW w:w="2268" w:type="dxa"/>
            <w:tcBorders>
              <w:top w:val="nil"/>
              <w:left w:val="single" w:sz="4" w:space="0" w:color="auto"/>
              <w:bottom w:val="nil"/>
              <w:right w:val="single" w:sz="4" w:space="0" w:color="auto"/>
            </w:tcBorders>
          </w:tcPr>
          <w:p w14:paraId="43AF0FDB" w14:textId="5F185A15" w:rsidR="00C53D9C" w:rsidRDefault="00C53D9C" w:rsidP="009348BE">
            <w:pPr>
              <w:pStyle w:val="ListParagraph"/>
              <w:ind w:left="0" w:right="-432"/>
              <w:jc w:val="center"/>
            </w:pPr>
            <w:r>
              <w:t>4</w:t>
            </w:r>
            <w:r w:rsidR="002A27EE">
              <w:t>.25</w:t>
            </w:r>
          </w:p>
        </w:tc>
      </w:tr>
      <w:tr w:rsidR="00C53D9C" w14:paraId="37A5C3A6" w14:textId="77777777" w:rsidTr="00C53D9C">
        <w:trPr>
          <w:jc w:val="center"/>
        </w:trPr>
        <w:tc>
          <w:tcPr>
            <w:tcW w:w="1656" w:type="dxa"/>
            <w:tcBorders>
              <w:top w:val="nil"/>
              <w:left w:val="single" w:sz="4" w:space="0" w:color="auto"/>
              <w:bottom w:val="single" w:sz="4" w:space="0" w:color="auto"/>
              <w:right w:val="single" w:sz="4" w:space="0" w:color="auto"/>
            </w:tcBorders>
          </w:tcPr>
          <w:p w14:paraId="58444213" w14:textId="47457C39" w:rsidR="00C53D9C" w:rsidRDefault="00C53D9C" w:rsidP="009348BE">
            <w:pPr>
              <w:pStyle w:val="ListParagraph"/>
              <w:ind w:left="0" w:right="-432"/>
              <w:jc w:val="center"/>
            </w:pPr>
            <w:r>
              <w:t>4</w:t>
            </w:r>
            <w:r w:rsidRPr="00C53D9C">
              <w:rPr>
                <w:vertAlign w:val="superscript"/>
              </w:rPr>
              <w:t>th</w:t>
            </w:r>
          </w:p>
        </w:tc>
        <w:tc>
          <w:tcPr>
            <w:tcW w:w="2268" w:type="dxa"/>
            <w:tcBorders>
              <w:top w:val="nil"/>
              <w:left w:val="single" w:sz="4" w:space="0" w:color="auto"/>
              <w:bottom w:val="single" w:sz="4" w:space="0" w:color="auto"/>
              <w:right w:val="single" w:sz="4" w:space="0" w:color="auto"/>
            </w:tcBorders>
          </w:tcPr>
          <w:p w14:paraId="4DA7C10C" w14:textId="56FF9467" w:rsidR="00C53D9C" w:rsidRDefault="00C53D9C" w:rsidP="009348BE">
            <w:pPr>
              <w:pStyle w:val="ListParagraph"/>
              <w:ind w:left="0" w:right="-432"/>
              <w:jc w:val="center"/>
            </w:pPr>
            <w:r>
              <w:t>3</w:t>
            </w:r>
            <w:r w:rsidR="00753E79">
              <w:t>.00</w:t>
            </w:r>
          </w:p>
        </w:tc>
      </w:tr>
    </w:tbl>
    <w:p w14:paraId="1D372B0B" w14:textId="77777777" w:rsidR="00C53D9C" w:rsidRPr="0036079B" w:rsidRDefault="00C53D9C" w:rsidP="009348BE">
      <w:pPr>
        <w:pStyle w:val="ListParagraph"/>
        <w:ind w:left="2160" w:right="-432"/>
      </w:pPr>
    </w:p>
    <w:p w14:paraId="14428B82" w14:textId="4C10D05F" w:rsidR="00F449B8" w:rsidRPr="005E3EE9" w:rsidRDefault="00F31D71" w:rsidP="009348BE">
      <w:pPr>
        <w:pStyle w:val="ListParagraph"/>
        <w:numPr>
          <w:ilvl w:val="0"/>
          <w:numId w:val="1"/>
        </w:numPr>
        <w:ind w:right="-432"/>
      </w:pPr>
      <w:r w:rsidRPr="005E3EE9">
        <w:t>Points are available on a per-win basis as described earlier.</w:t>
      </w:r>
    </w:p>
    <w:p w14:paraId="3B9E9DAC" w14:textId="02B85544" w:rsidR="00F449B8" w:rsidRPr="0036079B" w:rsidRDefault="00F449B8" w:rsidP="00753E79">
      <w:pPr>
        <w:pStyle w:val="ListParagraph"/>
        <w:numPr>
          <w:ilvl w:val="0"/>
          <w:numId w:val="1"/>
        </w:numPr>
        <w:ind w:right="-432"/>
        <w:jc w:val="both"/>
      </w:pPr>
      <w:r>
        <w:t xml:space="preserve">These events will use the same calculation algorithm as described above, with the change that the scaled SFM value does not have a maximum value of </w:t>
      </w:r>
      <w:r w:rsidR="0036079B">
        <w:t>5.0 (see example</w:t>
      </w:r>
      <w:r w:rsidR="000F77D4">
        <w:t>s in Appendix B</w:t>
      </w:r>
      <w:r w:rsidR="0036079B">
        <w:t>).</w:t>
      </w:r>
    </w:p>
    <w:p w14:paraId="6AC4B6B3" w14:textId="012270DB" w:rsidR="0036079B" w:rsidRPr="0036079B" w:rsidRDefault="0036079B" w:rsidP="00753E79">
      <w:pPr>
        <w:pStyle w:val="ListParagraph"/>
        <w:numPr>
          <w:ilvl w:val="0"/>
          <w:numId w:val="1"/>
        </w:numPr>
        <w:ind w:right="-432"/>
        <w:jc w:val="both"/>
      </w:pPr>
      <w:r>
        <w:t>Playdown events (Provincials</w:t>
      </w:r>
      <w:r w:rsidR="00753E79">
        <w:t>/Territorials</w:t>
      </w:r>
      <w:r>
        <w:t xml:space="preserve">, Nationals, Worlds, Olympic Trials, and Olympics) do not have a purse factor, </w:t>
      </w:r>
      <w:r w:rsidR="00C53D9C">
        <w:t xml:space="preserve">and </w:t>
      </w:r>
      <w:r>
        <w:t xml:space="preserve">the remaining events (Canada Cup, Europeans, and the 4 Grand Slams) </w:t>
      </w:r>
      <w:r w:rsidR="00F31D71">
        <w:t>will have a purse factor as calculated normally: 1+(p-500)*0.00017.</w:t>
      </w:r>
    </w:p>
    <w:p w14:paraId="6FE722DF" w14:textId="59B2188F" w:rsidR="00C53D9C" w:rsidRDefault="00C53D9C" w:rsidP="00753E79">
      <w:pPr>
        <w:pStyle w:val="ListParagraph"/>
        <w:numPr>
          <w:ilvl w:val="0"/>
          <w:numId w:val="1"/>
        </w:numPr>
        <w:ind w:right="-432"/>
        <w:jc w:val="both"/>
      </w:pPr>
      <w:r>
        <w:t xml:space="preserve">To reflect </w:t>
      </w:r>
      <w:r w:rsidR="00F6778C">
        <w:t>the relative</w:t>
      </w:r>
      <w:r>
        <w:t xml:space="preserve"> importance of events in this category, they will be awarded a bonus multiple to determine the points available for CTRS/OOM. This factor will be applied at the very end, and represents a percentage increase based on the importance and will be done according to the following:</w:t>
      </w:r>
    </w:p>
    <w:p w14:paraId="1C2D0B1C" w14:textId="77777777" w:rsidR="000F77D4" w:rsidRPr="00C53D9C" w:rsidRDefault="000F77D4" w:rsidP="009348BE">
      <w:pPr>
        <w:ind w:right="-432"/>
      </w:pPr>
    </w:p>
    <w:tbl>
      <w:tblPr>
        <w:tblStyle w:val="TableGrid"/>
        <w:tblW w:w="0" w:type="auto"/>
        <w:tblInd w:w="720" w:type="dxa"/>
        <w:tblBorders>
          <w:insideH w:val="none" w:sz="0" w:space="0" w:color="auto"/>
          <w:insideV w:val="none" w:sz="0" w:space="0" w:color="auto"/>
        </w:tblBorders>
        <w:tblLook w:val="04A0" w:firstRow="1" w:lastRow="0" w:firstColumn="1" w:lastColumn="0" w:noHBand="0" w:noVBand="1"/>
      </w:tblPr>
      <w:tblGrid>
        <w:gridCol w:w="4068"/>
        <w:gridCol w:w="4068"/>
      </w:tblGrid>
      <w:tr w:rsidR="00C53D9C" w14:paraId="388DFFA1" w14:textId="77777777" w:rsidTr="00243310">
        <w:tc>
          <w:tcPr>
            <w:tcW w:w="4068" w:type="dxa"/>
            <w:tcBorders>
              <w:top w:val="single" w:sz="4" w:space="0" w:color="auto"/>
              <w:bottom w:val="single" w:sz="4" w:space="0" w:color="auto"/>
              <w:right w:val="single" w:sz="4" w:space="0" w:color="auto"/>
            </w:tcBorders>
          </w:tcPr>
          <w:p w14:paraId="13517002" w14:textId="1131C451" w:rsidR="00C53D9C" w:rsidRPr="00753E79" w:rsidRDefault="00C53D9C" w:rsidP="009348BE">
            <w:pPr>
              <w:pStyle w:val="ListParagraph"/>
              <w:ind w:left="0" w:right="-432"/>
              <w:jc w:val="center"/>
              <w:rPr>
                <w:b/>
              </w:rPr>
            </w:pPr>
            <w:r w:rsidRPr="00753E79">
              <w:rPr>
                <w:b/>
              </w:rPr>
              <w:t>Event Type</w:t>
            </w:r>
          </w:p>
        </w:tc>
        <w:tc>
          <w:tcPr>
            <w:tcW w:w="4068" w:type="dxa"/>
            <w:tcBorders>
              <w:top w:val="single" w:sz="4" w:space="0" w:color="auto"/>
              <w:left w:val="single" w:sz="4" w:space="0" w:color="auto"/>
              <w:bottom w:val="single" w:sz="4" w:space="0" w:color="auto"/>
            </w:tcBorders>
          </w:tcPr>
          <w:p w14:paraId="3642B7B2" w14:textId="3D452248" w:rsidR="00C53D9C" w:rsidRPr="00753E79" w:rsidRDefault="00C53D9C" w:rsidP="009348BE">
            <w:pPr>
              <w:pStyle w:val="ListParagraph"/>
              <w:ind w:left="0" w:right="-432"/>
              <w:jc w:val="center"/>
              <w:rPr>
                <w:b/>
              </w:rPr>
            </w:pPr>
            <w:r w:rsidRPr="00753E79">
              <w:rPr>
                <w:b/>
              </w:rPr>
              <w:t>Percentage Increase</w:t>
            </w:r>
          </w:p>
        </w:tc>
      </w:tr>
      <w:tr w:rsidR="00C53D9C" w14:paraId="58FF360D" w14:textId="77777777" w:rsidTr="00243310">
        <w:tc>
          <w:tcPr>
            <w:tcW w:w="4068" w:type="dxa"/>
            <w:tcBorders>
              <w:top w:val="single" w:sz="4" w:space="0" w:color="auto"/>
              <w:left w:val="single" w:sz="4" w:space="0" w:color="auto"/>
              <w:bottom w:val="nil"/>
              <w:right w:val="single" w:sz="4" w:space="0" w:color="auto"/>
            </w:tcBorders>
          </w:tcPr>
          <w:p w14:paraId="3A94A6C5" w14:textId="79CDD1FD" w:rsidR="00C53D9C" w:rsidRDefault="00C53D9C" w:rsidP="009348BE">
            <w:pPr>
              <w:pStyle w:val="ListParagraph"/>
              <w:ind w:left="0" w:right="-432"/>
              <w:jc w:val="center"/>
            </w:pPr>
            <w:r>
              <w:t>Provincial</w:t>
            </w:r>
            <w:r w:rsidR="00243310">
              <w:t>s</w:t>
            </w:r>
          </w:p>
        </w:tc>
        <w:tc>
          <w:tcPr>
            <w:tcW w:w="4068" w:type="dxa"/>
            <w:tcBorders>
              <w:top w:val="single" w:sz="4" w:space="0" w:color="auto"/>
              <w:left w:val="single" w:sz="4" w:space="0" w:color="auto"/>
              <w:bottom w:val="nil"/>
              <w:right w:val="single" w:sz="4" w:space="0" w:color="auto"/>
            </w:tcBorders>
          </w:tcPr>
          <w:p w14:paraId="73CEA0E4" w14:textId="3791ACCB" w:rsidR="00C53D9C" w:rsidRDefault="00243310" w:rsidP="009348BE">
            <w:pPr>
              <w:pStyle w:val="ListParagraph"/>
              <w:ind w:left="0" w:right="-432"/>
              <w:jc w:val="center"/>
            </w:pPr>
            <w:r>
              <w:t>N/A</w:t>
            </w:r>
          </w:p>
        </w:tc>
      </w:tr>
      <w:tr w:rsidR="00C53D9C" w14:paraId="102EA3E0" w14:textId="77777777" w:rsidTr="00243310">
        <w:tc>
          <w:tcPr>
            <w:tcW w:w="4068" w:type="dxa"/>
            <w:tcBorders>
              <w:top w:val="nil"/>
              <w:left w:val="single" w:sz="4" w:space="0" w:color="auto"/>
              <w:bottom w:val="nil"/>
              <w:right w:val="single" w:sz="4" w:space="0" w:color="auto"/>
            </w:tcBorders>
          </w:tcPr>
          <w:p w14:paraId="51C967DD" w14:textId="67FDBFBC" w:rsidR="00C53D9C" w:rsidRDefault="00243310" w:rsidP="009348BE">
            <w:pPr>
              <w:pStyle w:val="ListParagraph"/>
              <w:ind w:left="0" w:right="-432"/>
              <w:jc w:val="center"/>
            </w:pPr>
            <w:r>
              <w:t>Nationals</w:t>
            </w:r>
          </w:p>
        </w:tc>
        <w:tc>
          <w:tcPr>
            <w:tcW w:w="4068" w:type="dxa"/>
            <w:tcBorders>
              <w:top w:val="nil"/>
              <w:left w:val="single" w:sz="4" w:space="0" w:color="auto"/>
              <w:bottom w:val="nil"/>
              <w:right w:val="single" w:sz="4" w:space="0" w:color="auto"/>
            </w:tcBorders>
          </w:tcPr>
          <w:p w14:paraId="36A26CA4" w14:textId="6A9EC5EE" w:rsidR="00C53D9C" w:rsidRDefault="00243310" w:rsidP="009348BE">
            <w:pPr>
              <w:pStyle w:val="ListParagraph"/>
              <w:ind w:left="0" w:right="-432"/>
              <w:jc w:val="center"/>
            </w:pPr>
            <w:r>
              <w:t>90%</w:t>
            </w:r>
          </w:p>
        </w:tc>
      </w:tr>
      <w:tr w:rsidR="00C53D9C" w14:paraId="4E93F3AF" w14:textId="77777777" w:rsidTr="00243310">
        <w:tc>
          <w:tcPr>
            <w:tcW w:w="4068" w:type="dxa"/>
            <w:tcBorders>
              <w:top w:val="nil"/>
              <w:left w:val="single" w:sz="4" w:space="0" w:color="auto"/>
              <w:bottom w:val="nil"/>
              <w:right w:val="single" w:sz="4" w:space="0" w:color="auto"/>
            </w:tcBorders>
          </w:tcPr>
          <w:p w14:paraId="6851891C" w14:textId="0CB16DA3" w:rsidR="00C53D9C" w:rsidRDefault="00243310" w:rsidP="009348BE">
            <w:pPr>
              <w:pStyle w:val="ListParagraph"/>
              <w:ind w:left="0" w:right="-432"/>
              <w:jc w:val="center"/>
            </w:pPr>
            <w:r>
              <w:t>Worlds</w:t>
            </w:r>
          </w:p>
        </w:tc>
        <w:tc>
          <w:tcPr>
            <w:tcW w:w="4068" w:type="dxa"/>
            <w:tcBorders>
              <w:top w:val="nil"/>
              <w:left w:val="single" w:sz="4" w:space="0" w:color="auto"/>
              <w:bottom w:val="nil"/>
              <w:right w:val="single" w:sz="4" w:space="0" w:color="auto"/>
            </w:tcBorders>
          </w:tcPr>
          <w:p w14:paraId="1B05F4FB" w14:textId="38328DED" w:rsidR="00C53D9C" w:rsidRDefault="00243310" w:rsidP="009348BE">
            <w:pPr>
              <w:pStyle w:val="ListParagraph"/>
              <w:ind w:left="0" w:right="-432"/>
              <w:jc w:val="center"/>
            </w:pPr>
            <w:r>
              <w:t>90%</w:t>
            </w:r>
          </w:p>
        </w:tc>
      </w:tr>
      <w:tr w:rsidR="00C53D9C" w14:paraId="5E9FF843" w14:textId="77777777" w:rsidTr="00243310">
        <w:tc>
          <w:tcPr>
            <w:tcW w:w="4068" w:type="dxa"/>
            <w:tcBorders>
              <w:top w:val="nil"/>
              <w:left w:val="single" w:sz="4" w:space="0" w:color="auto"/>
              <w:bottom w:val="nil"/>
              <w:right w:val="single" w:sz="4" w:space="0" w:color="auto"/>
            </w:tcBorders>
          </w:tcPr>
          <w:p w14:paraId="1CF86AC0" w14:textId="20651E10" w:rsidR="00C53D9C" w:rsidRDefault="00243310" w:rsidP="009348BE">
            <w:pPr>
              <w:pStyle w:val="ListParagraph"/>
              <w:ind w:left="0" w:right="-432"/>
              <w:jc w:val="center"/>
            </w:pPr>
            <w:r>
              <w:t>Canada Cup</w:t>
            </w:r>
            <w:r w:rsidR="00F31D71">
              <w:t>^</w:t>
            </w:r>
          </w:p>
        </w:tc>
        <w:tc>
          <w:tcPr>
            <w:tcW w:w="4068" w:type="dxa"/>
            <w:tcBorders>
              <w:top w:val="nil"/>
              <w:left w:val="single" w:sz="4" w:space="0" w:color="auto"/>
              <w:bottom w:val="nil"/>
              <w:right w:val="single" w:sz="4" w:space="0" w:color="auto"/>
            </w:tcBorders>
          </w:tcPr>
          <w:p w14:paraId="012409FE" w14:textId="067B95BE" w:rsidR="00C53D9C" w:rsidRDefault="00243310" w:rsidP="009348BE">
            <w:pPr>
              <w:pStyle w:val="ListParagraph"/>
              <w:ind w:left="0" w:right="-432"/>
              <w:jc w:val="center"/>
            </w:pPr>
            <w:r>
              <w:t>35%</w:t>
            </w:r>
          </w:p>
        </w:tc>
      </w:tr>
      <w:tr w:rsidR="00C53D9C" w14:paraId="188646F5" w14:textId="77777777" w:rsidTr="00243310">
        <w:tc>
          <w:tcPr>
            <w:tcW w:w="4068" w:type="dxa"/>
            <w:tcBorders>
              <w:top w:val="nil"/>
              <w:left w:val="single" w:sz="4" w:space="0" w:color="auto"/>
              <w:bottom w:val="nil"/>
              <w:right w:val="single" w:sz="4" w:space="0" w:color="auto"/>
            </w:tcBorders>
          </w:tcPr>
          <w:p w14:paraId="3A041BE0" w14:textId="623F05CE" w:rsidR="00C53D9C" w:rsidRDefault="00243310" w:rsidP="009348BE">
            <w:pPr>
              <w:pStyle w:val="ListParagraph"/>
              <w:ind w:left="0" w:right="-432"/>
              <w:jc w:val="center"/>
            </w:pPr>
            <w:r>
              <w:t>Europeans</w:t>
            </w:r>
            <w:r w:rsidR="00F31D71">
              <w:t>^</w:t>
            </w:r>
          </w:p>
        </w:tc>
        <w:tc>
          <w:tcPr>
            <w:tcW w:w="4068" w:type="dxa"/>
            <w:tcBorders>
              <w:top w:val="nil"/>
              <w:left w:val="single" w:sz="4" w:space="0" w:color="auto"/>
              <w:bottom w:val="nil"/>
              <w:right w:val="single" w:sz="4" w:space="0" w:color="auto"/>
            </w:tcBorders>
          </w:tcPr>
          <w:p w14:paraId="4AAE3724" w14:textId="4E2C48EE" w:rsidR="00C53D9C" w:rsidRDefault="00243310" w:rsidP="009348BE">
            <w:pPr>
              <w:pStyle w:val="ListParagraph"/>
              <w:ind w:left="0" w:right="-432"/>
              <w:jc w:val="center"/>
            </w:pPr>
            <w:r>
              <w:t>35%</w:t>
            </w:r>
          </w:p>
        </w:tc>
      </w:tr>
      <w:tr w:rsidR="00C53D9C" w14:paraId="2C9B788C" w14:textId="77777777" w:rsidTr="00243310">
        <w:tc>
          <w:tcPr>
            <w:tcW w:w="4068" w:type="dxa"/>
            <w:tcBorders>
              <w:top w:val="nil"/>
              <w:left w:val="single" w:sz="4" w:space="0" w:color="auto"/>
              <w:bottom w:val="nil"/>
              <w:right w:val="single" w:sz="4" w:space="0" w:color="auto"/>
            </w:tcBorders>
          </w:tcPr>
          <w:p w14:paraId="725CE78A" w14:textId="72FA1345" w:rsidR="00C53D9C" w:rsidRDefault="00243310" w:rsidP="009348BE">
            <w:pPr>
              <w:pStyle w:val="ListParagraph"/>
              <w:ind w:left="0" w:right="-432"/>
              <w:jc w:val="center"/>
            </w:pPr>
            <w:r>
              <w:t>Olympic Trials</w:t>
            </w:r>
          </w:p>
        </w:tc>
        <w:tc>
          <w:tcPr>
            <w:tcW w:w="4068" w:type="dxa"/>
            <w:tcBorders>
              <w:top w:val="nil"/>
              <w:left w:val="single" w:sz="4" w:space="0" w:color="auto"/>
              <w:bottom w:val="nil"/>
              <w:right w:val="single" w:sz="4" w:space="0" w:color="auto"/>
            </w:tcBorders>
          </w:tcPr>
          <w:p w14:paraId="712B7E5C" w14:textId="0AC27369" w:rsidR="00C53D9C" w:rsidRDefault="00F6778C" w:rsidP="009348BE">
            <w:pPr>
              <w:pStyle w:val="ListParagraph"/>
              <w:ind w:left="0" w:right="-432"/>
              <w:jc w:val="center"/>
            </w:pPr>
            <w:r>
              <w:t>25%</w:t>
            </w:r>
          </w:p>
        </w:tc>
      </w:tr>
      <w:tr w:rsidR="00C53D9C" w14:paraId="14C1F52B" w14:textId="77777777" w:rsidTr="00243310">
        <w:tc>
          <w:tcPr>
            <w:tcW w:w="4068" w:type="dxa"/>
            <w:tcBorders>
              <w:top w:val="nil"/>
              <w:left w:val="single" w:sz="4" w:space="0" w:color="auto"/>
              <w:bottom w:val="nil"/>
              <w:right w:val="single" w:sz="4" w:space="0" w:color="auto"/>
            </w:tcBorders>
          </w:tcPr>
          <w:p w14:paraId="636C66B4" w14:textId="7EC229E2" w:rsidR="00C53D9C" w:rsidRDefault="00243310" w:rsidP="009348BE">
            <w:pPr>
              <w:pStyle w:val="ListParagraph"/>
              <w:ind w:left="0" w:right="-432"/>
              <w:jc w:val="center"/>
            </w:pPr>
            <w:r>
              <w:t>Olympics</w:t>
            </w:r>
          </w:p>
        </w:tc>
        <w:tc>
          <w:tcPr>
            <w:tcW w:w="4068" w:type="dxa"/>
            <w:tcBorders>
              <w:top w:val="nil"/>
              <w:left w:val="single" w:sz="4" w:space="0" w:color="auto"/>
              <w:bottom w:val="nil"/>
              <w:right w:val="single" w:sz="4" w:space="0" w:color="auto"/>
            </w:tcBorders>
          </w:tcPr>
          <w:p w14:paraId="50ACEB0B" w14:textId="703A61AF" w:rsidR="00C53D9C" w:rsidRDefault="00F6778C" w:rsidP="009348BE">
            <w:pPr>
              <w:pStyle w:val="ListParagraph"/>
              <w:ind w:left="0" w:right="-432"/>
              <w:jc w:val="center"/>
            </w:pPr>
            <w:r>
              <w:t>100%</w:t>
            </w:r>
          </w:p>
        </w:tc>
      </w:tr>
      <w:tr w:rsidR="00243310" w14:paraId="5CC2DEEE" w14:textId="77777777" w:rsidTr="00243310">
        <w:tblPrEx>
          <w:tblBorders>
            <w:insideH w:val="single" w:sz="4" w:space="0" w:color="auto"/>
            <w:insideV w:val="single" w:sz="4" w:space="0" w:color="auto"/>
          </w:tblBorders>
        </w:tblPrEx>
        <w:tc>
          <w:tcPr>
            <w:tcW w:w="4068" w:type="dxa"/>
            <w:tcBorders>
              <w:top w:val="nil"/>
              <w:left w:val="single" w:sz="4" w:space="0" w:color="auto"/>
              <w:bottom w:val="single" w:sz="4" w:space="0" w:color="auto"/>
              <w:right w:val="single" w:sz="4" w:space="0" w:color="auto"/>
            </w:tcBorders>
          </w:tcPr>
          <w:p w14:paraId="2743423A" w14:textId="500D24CC" w:rsidR="00243310" w:rsidRDefault="00F6778C" w:rsidP="009348BE">
            <w:pPr>
              <w:pStyle w:val="ListParagraph"/>
              <w:ind w:left="0" w:right="-432"/>
              <w:jc w:val="center"/>
            </w:pPr>
            <w:r>
              <w:t>Grand Slams</w:t>
            </w:r>
          </w:p>
        </w:tc>
        <w:tc>
          <w:tcPr>
            <w:tcW w:w="4068" w:type="dxa"/>
            <w:tcBorders>
              <w:top w:val="nil"/>
              <w:left w:val="single" w:sz="4" w:space="0" w:color="auto"/>
              <w:bottom w:val="single" w:sz="4" w:space="0" w:color="auto"/>
              <w:right w:val="single" w:sz="4" w:space="0" w:color="auto"/>
            </w:tcBorders>
          </w:tcPr>
          <w:p w14:paraId="5A507C71" w14:textId="234997A1" w:rsidR="00243310" w:rsidRDefault="00F6778C" w:rsidP="009348BE">
            <w:pPr>
              <w:pStyle w:val="ListParagraph"/>
              <w:ind w:left="0" w:right="-432"/>
              <w:jc w:val="center"/>
            </w:pPr>
            <w:r>
              <w:t>10%</w:t>
            </w:r>
          </w:p>
        </w:tc>
      </w:tr>
    </w:tbl>
    <w:p w14:paraId="15D722D6" w14:textId="17802B6E" w:rsidR="00C53D9C" w:rsidRPr="005E3EE9" w:rsidRDefault="00F31D71" w:rsidP="00753E79">
      <w:pPr>
        <w:ind w:left="851" w:right="-432" w:hanging="131"/>
        <w:jc w:val="both"/>
      </w:pPr>
      <w:r>
        <w:t xml:space="preserve">* </w:t>
      </w:r>
      <w:r w:rsidR="00F6778C">
        <w:t xml:space="preserve">All of the events in this category are still predominately SFM-based events. This additional factor was implemented </w:t>
      </w:r>
      <w:r w:rsidR="002A27EE">
        <w:t>based on historical significance to adjust</w:t>
      </w:r>
      <w:r w:rsidR="00F6778C">
        <w:t xml:space="preserve"> the points available to match the importance of winning/placing in </w:t>
      </w:r>
      <w:r w:rsidR="00F6778C" w:rsidRPr="005E3EE9">
        <w:t>such events.</w:t>
      </w:r>
    </w:p>
    <w:p w14:paraId="6E957572" w14:textId="77777777" w:rsidR="00F31D71" w:rsidRPr="005E3EE9" w:rsidRDefault="00F31D71" w:rsidP="009348BE">
      <w:pPr>
        <w:ind w:left="851" w:right="-432" w:hanging="131"/>
      </w:pPr>
    </w:p>
    <w:p w14:paraId="26CEA04E" w14:textId="5DB31A6E" w:rsidR="00F31D71" w:rsidRPr="005E3EE9" w:rsidRDefault="00F31D71" w:rsidP="00753E79">
      <w:pPr>
        <w:ind w:left="851" w:right="-432" w:hanging="131"/>
        <w:jc w:val="both"/>
      </w:pPr>
      <w:r w:rsidRPr="005E3EE9">
        <w:t>^ The Canada Cup and Europeans represent events of the Sanctioned Federation type. The description for events to meet this category is:</w:t>
      </w:r>
    </w:p>
    <w:p w14:paraId="2E768BFE" w14:textId="6587450E" w:rsidR="00F31D71" w:rsidRPr="005E3EE9" w:rsidRDefault="00F31D71" w:rsidP="00753E79">
      <w:pPr>
        <w:pStyle w:val="ListParagraph"/>
        <w:numPr>
          <w:ilvl w:val="0"/>
          <w:numId w:val="13"/>
        </w:numPr>
        <w:ind w:right="-432"/>
        <w:jc w:val="both"/>
      </w:pPr>
      <w:r w:rsidRPr="005E3EE9">
        <w:t>National/International Federations will be allowed to sanction 1 event per season in this category. This event must be used to either internally rank teams</w:t>
      </w:r>
      <w:r w:rsidR="006E6B05" w:rsidRPr="005E3EE9">
        <w:t xml:space="preserve"> in a region,</w:t>
      </w:r>
      <w:r w:rsidRPr="005E3EE9">
        <w:t xml:space="preserve"> or towards Olympic qualification. The minimum number of teams required is 6.</w:t>
      </w:r>
    </w:p>
    <w:p w14:paraId="16378B14" w14:textId="657903D8" w:rsidR="00F31D71" w:rsidRPr="005E3EE9" w:rsidRDefault="00F31D71" w:rsidP="00753E79">
      <w:pPr>
        <w:pStyle w:val="ListParagraph"/>
        <w:numPr>
          <w:ilvl w:val="0"/>
          <w:numId w:val="13"/>
        </w:numPr>
        <w:ind w:right="-432"/>
        <w:jc w:val="both"/>
      </w:pPr>
      <w:r w:rsidRPr="005E3EE9">
        <w:t>The bonus for events in this category (35%) will only be rewarded when more than half the teams playing are in the Top20 as per the OOM on the Tuesday before the event.</w:t>
      </w:r>
    </w:p>
    <w:p w14:paraId="2325E2C6" w14:textId="77777777" w:rsidR="00753E79" w:rsidRDefault="00F31D71" w:rsidP="00753E79">
      <w:pPr>
        <w:pStyle w:val="ListParagraph"/>
        <w:numPr>
          <w:ilvl w:val="0"/>
          <w:numId w:val="13"/>
        </w:numPr>
        <w:ind w:right="-432"/>
        <w:jc w:val="both"/>
      </w:pPr>
      <w:r w:rsidRPr="005E3EE9">
        <w:t xml:space="preserve">As described above, the </w:t>
      </w:r>
      <w:r w:rsidR="00C23BF5" w:rsidRPr="005E3EE9">
        <w:t xml:space="preserve">specific </w:t>
      </w:r>
      <w:r w:rsidRPr="005E3EE9">
        <w:t>team-factor equation used is also dependent on whether o</w:t>
      </w:r>
      <w:r w:rsidR="001718F9" w:rsidRPr="005E3EE9">
        <w:t>r not there are at least 50% Top20 teams.</w:t>
      </w:r>
      <w:r w:rsidR="006E6B05" w:rsidRPr="005E3EE9">
        <w:t xml:space="preserve"> These rules prevent a federation from artificially propping up teams using this </w:t>
      </w:r>
      <w:r w:rsidR="00C23BF5" w:rsidRPr="005E3EE9">
        <w:t xml:space="preserve">category of </w:t>
      </w:r>
      <w:r w:rsidR="006E6B05" w:rsidRPr="005E3EE9">
        <w:t>event</w:t>
      </w:r>
      <w:r w:rsidR="00C23BF5" w:rsidRPr="005E3EE9">
        <w:t>s</w:t>
      </w:r>
      <w:r w:rsidR="006E6B05" w:rsidRPr="005E3EE9">
        <w:t>.</w:t>
      </w:r>
    </w:p>
    <w:p w14:paraId="768BD5E7" w14:textId="77777777" w:rsidR="00753E79" w:rsidRDefault="00753E79" w:rsidP="00753E79">
      <w:pPr>
        <w:pStyle w:val="ListParagraph"/>
        <w:ind w:left="1440" w:right="-432"/>
        <w:jc w:val="both"/>
      </w:pPr>
    </w:p>
    <w:p w14:paraId="6B804B62" w14:textId="77777777" w:rsidR="00753E79" w:rsidRDefault="005E6610" w:rsidP="00753E79">
      <w:pPr>
        <w:pStyle w:val="ListParagraph"/>
        <w:numPr>
          <w:ilvl w:val="0"/>
          <w:numId w:val="13"/>
        </w:numPr>
        <w:ind w:right="-432"/>
        <w:jc w:val="both"/>
      </w:pPr>
      <w:r>
        <w:t>Events at the Junior/CIS level will only be calculated at the National/World levels using the same formula for calculation (including the importance multiple)</w:t>
      </w:r>
      <w:r w:rsidR="00590532">
        <w:t xml:space="preserve"> as described above.</w:t>
      </w:r>
    </w:p>
    <w:p w14:paraId="21A4E54F" w14:textId="77777777" w:rsidR="00753E79" w:rsidRDefault="00753E79" w:rsidP="00753E79">
      <w:pPr>
        <w:ind w:right="-432"/>
        <w:jc w:val="both"/>
      </w:pPr>
    </w:p>
    <w:p w14:paraId="09D7E301" w14:textId="33D8DD0C" w:rsidR="00AA0F06" w:rsidRDefault="00AA0F06" w:rsidP="00753E79">
      <w:pPr>
        <w:pStyle w:val="ListParagraph"/>
        <w:numPr>
          <w:ilvl w:val="0"/>
          <w:numId w:val="13"/>
        </w:numPr>
        <w:ind w:right="-432"/>
        <w:jc w:val="both"/>
      </w:pPr>
      <w:r>
        <w:t>Teams not registered on the tour will be factored into the 201+ group for SFM calculations, but will be ineligible for receiving CTRS/OOM points.</w:t>
      </w:r>
    </w:p>
    <w:p w14:paraId="170E5F4C" w14:textId="77777777" w:rsidR="00985DC5" w:rsidRDefault="00985DC5" w:rsidP="00753E79">
      <w:pPr>
        <w:ind w:right="-432"/>
        <w:jc w:val="both"/>
      </w:pPr>
    </w:p>
    <w:p w14:paraId="52DC8949" w14:textId="2A327405" w:rsidR="00F6778C" w:rsidRPr="00F6778C" w:rsidRDefault="00F6778C" w:rsidP="00753E79">
      <w:pPr>
        <w:ind w:right="-432"/>
        <w:jc w:val="both"/>
      </w:pPr>
      <w:r>
        <w:t>See Appendix B</w:t>
      </w:r>
      <w:r w:rsidRPr="00F6778C">
        <w:t xml:space="preserve"> for </w:t>
      </w:r>
      <w:r>
        <w:t>Playdown/Special event</w:t>
      </w:r>
      <w:r w:rsidRPr="00F6778C">
        <w:t xml:space="preserve"> </w:t>
      </w:r>
      <w:r>
        <w:t>examples from the 2013</w:t>
      </w:r>
      <w:r w:rsidRPr="00F6778C">
        <w:t>-15 season.</w:t>
      </w:r>
    </w:p>
    <w:p w14:paraId="3E0B4ED8" w14:textId="77777777" w:rsidR="00F6778C" w:rsidRPr="00F449B8" w:rsidRDefault="00F6778C" w:rsidP="009348BE">
      <w:pPr>
        <w:pStyle w:val="ListParagraph"/>
        <w:ind w:left="851" w:right="-432" w:hanging="131"/>
      </w:pPr>
    </w:p>
    <w:p w14:paraId="1C7CFABC" w14:textId="77777777" w:rsidR="00F449B8" w:rsidRPr="00EE3735" w:rsidRDefault="00F449B8" w:rsidP="009348BE">
      <w:pPr>
        <w:pStyle w:val="ListParagraph"/>
        <w:ind w:left="1440" w:right="-432"/>
      </w:pPr>
    </w:p>
    <w:p w14:paraId="3B54B14D" w14:textId="77777777" w:rsidR="00EE3735" w:rsidRPr="00EE3735" w:rsidRDefault="00EE3735" w:rsidP="009348BE">
      <w:pPr>
        <w:ind w:right="-432"/>
      </w:pPr>
    </w:p>
    <w:p w14:paraId="44894325" w14:textId="77777777" w:rsidR="003F22DC" w:rsidRDefault="003F22DC" w:rsidP="009348BE">
      <w:pPr>
        <w:ind w:right="-432"/>
      </w:pPr>
    </w:p>
    <w:p w14:paraId="6A13BFD6" w14:textId="77777777" w:rsidR="00753E79" w:rsidRDefault="00753E79" w:rsidP="009348BE">
      <w:pPr>
        <w:ind w:right="-432"/>
      </w:pPr>
    </w:p>
    <w:p w14:paraId="12B35FBE" w14:textId="77777777" w:rsidR="00753E79" w:rsidRDefault="00753E79" w:rsidP="009348BE">
      <w:pPr>
        <w:ind w:right="-432"/>
      </w:pPr>
    </w:p>
    <w:p w14:paraId="79773B42" w14:textId="77777777" w:rsidR="005E3EE9" w:rsidRDefault="005E3EE9" w:rsidP="009348BE">
      <w:pPr>
        <w:ind w:right="-432"/>
      </w:pPr>
    </w:p>
    <w:p w14:paraId="723C44F3" w14:textId="77777777" w:rsidR="00C35FED" w:rsidRDefault="00C35FED" w:rsidP="009348BE">
      <w:pPr>
        <w:ind w:right="-432"/>
      </w:pPr>
    </w:p>
    <w:p w14:paraId="066CBE30" w14:textId="77777777" w:rsidR="00753E79" w:rsidRDefault="00753E79" w:rsidP="009348BE">
      <w:pPr>
        <w:ind w:right="-432"/>
        <w:rPr>
          <w:b/>
        </w:rPr>
      </w:pPr>
    </w:p>
    <w:p w14:paraId="14C8F9D4" w14:textId="77777777" w:rsidR="00753E79" w:rsidRDefault="00753E79" w:rsidP="009348BE">
      <w:pPr>
        <w:ind w:right="-432"/>
        <w:rPr>
          <w:b/>
        </w:rPr>
      </w:pPr>
    </w:p>
    <w:p w14:paraId="7D24EAF1" w14:textId="77777777" w:rsidR="00753E79" w:rsidRDefault="00753E79" w:rsidP="009348BE">
      <w:pPr>
        <w:ind w:right="-432"/>
        <w:rPr>
          <w:b/>
        </w:rPr>
      </w:pPr>
    </w:p>
    <w:p w14:paraId="0C5610D9" w14:textId="77777777" w:rsidR="00753E79" w:rsidRDefault="00753E79" w:rsidP="009348BE">
      <w:pPr>
        <w:ind w:right="-432"/>
        <w:rPr>
          <w:b/>
        </w:rPr>
      </w:pPr>
    </w:p>
    <w:p w14:paraId="5CD0FA85" w14:textId="77777777" w:rsidR="00753E79" w:rsidRDefault="00753E79" w:rsidP="009348BE">
      <w:pPr>
        <w:ind w:right="-432"/>
        <w:rPr>
          <w:b/>
        </w:rPr>
      </w:pPr>
    </w:p>
    <w:p w14:paraId="5827A82A" w14:textId="77777777" w:rsidR="00753E79" w:rsidRDefault="00753E79" w:rsidP="009348BE">
      <w:pPr>
        <w:ind w:right="-432"/>
        <w:rPr>
          <w:b/>
        </w:rPr>
      </w:pPr>
    </w:p>
    <w:p w14:paraId="046B4A06" w14:textId="77777777" w:rsidR="00753E79" w:rsidRDefault="00753E79" w:rsidP="009348BE">
      <w:pPr>
        <w:ind w:right="-432"/>
        <w:rPr>
          <w:b/>
        </w:rPr>
      </w:pPr>
    </w:p>
    <w:p w14:paraId="230377D6" w14:textId="77777777" w:rsidR="00753E79" w:rsidRDefault="00753E79" w:rsidP="009348BE">
      <w:pPr>
        <w:ind w:right="-432"/>
        <w:rPr>
          <w:b/>
        </w:rPr>
      </w:pPr>
    </w:p>
    <w:p w14:paraId="5719144C" w14:textId="77777777" w:rsidR="00753E79" w:rsidRDefault="00753E79" w:rsidP="009348BE">
      <w:pPr>
        <w:ind w:right="-432"/>
        <w:rPr>
          <w:b/>
        </w:rPr>
      </w:pPr>
    </w:p>
    <w:p w14:paraId="782C935A" w14:textId="77777777" w:rsidR="00753E79" w:rsidRDefault="00753E79" w:rsidP="009348BE">
      <w:pPr>
        <w:ind w:right="-432"/>
        <w:rPr>
          <w:b/>
        </w:rPr>
      </w:pPr>
    </w:p>
    <w:p w14:paraId="611DEB8A" w14:textId="77777777" w:rsidR="00753E79" w:rsidRDefault="00753E79" w:rsidP="009348BE">
      <w:pPr>
        <w:ind w:right="-432"/>
        <w:rPr>
          <w:b/>
        </w:rPr>
      </w:pPr>
    </w:p>
    <w:p w14:paraId="53E1F31C" w14:textId="77777777" w:rsidR="00753E79" w:rsidRDefault="00753E79" w:rsidP="009348BE">
      <w:pPr>
        <w:ind w:right="-432"/>
        <w:rPr>
          <w:b/>
        </w:rPr>
      </w:pPr>
    </w:p>
    <w:p w14:paraId="1E385B2E" w14:textId="77777777" w:rsidR="00753E79" w:rsidRDefault="00753E79" w:rsidP="009348BE">
      <w:pPr>
        <w:ind w:right="-432"/>
        <w:rPr>
          <w:b/>
        </w:rPr>
      </w:pPr>
    </w:p>
    <w:p w14:paraId="730EBDAA" w14:textId="77777777" w:rsidR="00753E79" w:rsidRDefault="00753E79" w:rsidP="009348BE">
      <w:pPr>
        <w:ind w:right="-432"/>
        <w:rPr>
          <w:b/>
        </w:rPr>
      </w:pPr>
    </w:p>
    <w:p w14:paraId="178F0750" w14:textId="77777777" w:rsidR="00753E79" w:rsidRDefault="00753E79" w:rsidP="009348BE">
      <w:pPr>
        <w:ind w:right="-432"/>
        <w:rPr>
          <w:b/>
        </w:rPr>
      </w:pPr>
    </w:p>
    <w:p w14:paraId="651858E8" w14:textId="77777777" w:rsidR="00753E79" w:rsidRDefault="00753E79" w:rsidP="009348BE">
      <w:pPr>
        <w:ind w:right="-432"/>
        <w:rPr>
          <w:b/>
        </w:rPr>
      </w:pPr>
    </w:p>
    <w:p w14:paraId="7217BC1B" w14:textId="77777777" w:rsidR="00753E79" w:rsidRDefault="00753E79" w:rsidP="009348BE">
      <w:pPr>
        <w:ind w:right="-432"/>
        <w:rPr>
          <w:b/>
        </w:rPr>
      </w:pPr>
    </w:p>
    <w:p w14:paraId="1398535E" w14:textId="77777777" w:rsidR="00753E79" w:rsidRDefault="00753E79" w:rsidP="009348BE">
      <w:pPr>
        <w:ind w:right="-432"/>
        <w:rPr>
          <w:b/>
        </w:rPr>
      </w:pPr>
    </w:p>
    <w:p w14:paraId="55C304DB" w14:textId="77777777" w:rsidR="00753E79" w:rsidRDefault="00753E79" w:rsidP="009348BE">
      <w:pPr>
        <w:ind w:right="-432"/>
        <w:rPr>
          <w:b/>
        </w:rPr>
      </w:pPr>
    </w:p>
    <w:p w14:paraId="359E18E1" w14:textId="77777777" w:rsidR="00753E79" w:rsidRDefault="00753E79" w:rsidP="009348BE">
      <w:pPr>
        <w:ind w:right="-432"/>
        <w:rPr>
          <w:b/>
        </w:rPr>
      </w:pPr>
    </w:p>
    <w:p w14:paraId="0D2D48FB" w14:textId="77777777" w:rsidR="00753E79" w:rsidRDefault="00753E79" w:rsidP="009348BE">
      <w:pPr>
        <w:ind w:right="-432"/>
        <w:rPr>
          <w:b/>
        </w:rPr>
      </w:pPr>
    </w:p>
    <w:p w14:paraId="1D558579" w14:textId="77777777" w:rsidR="00753E79" w:rsidRDefault="00753E79" w:rsidP="009348BE">
      <w:pPr>
        <w:ind w:right="-432"/>
        <w:rPr>
          <w:b/>
        </w:rPr>
      </w:pPr>
    </w:p>
    <w:p w14:paraId="74EE46F3" w14:textId="77777777" w:rsidR="00753E79" w:rsidRDefault="00753E79" w:rsidP="009348BE">
      <w:pPr>
        <w:ind w:right="-432"/>
        <w:rPr>
          <w:b/>
        </w:rPr>
      </w:pPr>
    </w:p>
    <w:p w14:paraId="25B7ABD8" w14:textId="77777777" w:rsidR="00753E79" w:rsidRDefault="00753E79" w:rsidP="009348BE">
      <w:pPr>
        <w:ind w:right="-432"/>
        <w:rPr>
          <w:b/>
        </w:rPr>
      </w:pPr>
    </w:p>
    <w:p w14:paraId="2B1D1A73" w14:textId="15A1748E" w:rsidR="00590532" w:rsidRPr="00590532" w:rsidRDefault="00590532" w:rsidP="009348BE">
      <w:pPr>
        <w:ind w:right="-432"/>
        <w:rPr>
          <w:b/>
        </w:rPr>
      </w:pPr>
      <w:r w:rsidRPr="00590532">
        <w:rPr>
          <w:b/>
        </w:rPr>
        <w:t xml:space="preserve">Appendix A: </w:t>
      </w:r>
      <w:r w:rsidR="004E1D11">
        <w:rPr>
          <w:b/>
        </w:rPr>
        <w:t>Tour Cashspiel</w:t>
      </w:r>
      <w:r w:rsidRPr="00590532">
        <w:rPr>
          <w:b/>
        </w:rPr>
        <w:t xml:space="preserve"> examples from the 2014-15 season:</w:t>
      </w:r>
    </w:p>
    <w:p w14:paraId="39FE0BE4" w14:textId="77777777" w:rsidR="00590532" w:rsidRDefault="00590532" w:rsidP="009348BE">
      <w:pPr>
        <w:ind w:right="-432"/>
      </w:pPr>
    </w:p>
    <w:p w14:paraId="40CA18C5" w14:textId="621B0A42" w:rsidR="00590532" w:rsidRDefault="00590532" w:rsidP="00753E79">
      <w:pPr>
        <w:pStyle w:val="ListParagraph"/>
        <w:spacing w:line="276" w:lineRule="auto"/>
        <w:ind w:left="0" w:right="-432"/>
        <w:jc w:val="both"/>
      </w:pPr>
      <w:r>
        <w:t>Example 1: Oakville - 30-team, $30 000 purse, the total SFM currently used: 5.51 - (5.51/30)*24 = 4.408*(1.44 # multiplier)*(1.08 purse multiplier) = 6.86</w:t>
      </w:r>
    </w:p>
    <w:p w14:paraId="24252724" w14:textId="77777777" w:rsidR="00590532" w:rsidRDefault="00590532" w:rsidP="009348BE">
      <w:pPr>
        <w:pStyle w:val="ListParagraph"/>
        <w:spacing w:line="276" w:lineRule="auto"/>
        <w:ind w:left="0" w:right="-432"/>
      </w:pPr>
    </w:p>
    <w:tbl>
      <w:tblPr>
        <w:tblStyle w:val="TableGrid"/>
        <w:tblW w:w="0" w:type="auto"/>
        <w:jc w:val="center"/>
        <w:tblInd w:w="1440" w:type="dxa"/>
        <w:tblLook w:val="04A0" w:firstRow="1" w:lastRow="0" w:firstColumn="1" w:lastColumn="0" w:noHBand="0" w:noVBand="1"/>
      </w:tblPr>
      <w:tblGrid>
        <w:gridCol w:w="1855"/>
        <w:gridCol w:w="1830"/>
        <w:gridCol w:w="1877"/>
        <w:gridCol w:w="1854"/>
      </w:tblGrid>
      <w:tr w:rsidR="00590532" w14:paraId="4575E2A3" w14:textId="77777777" w:rsidTr="00590532">
        <w:trPr>
          <w:jc w:val="center"/>
        </w:trPr>
        <w:tc>
          <w:tcPr>
            <w:tcW w:w="2214" w:type="dxa"/>
          </w:tcPr>
          <w:p w14:paraId="405B674C" w14:textId="77777777" w:rsidR="00590532" w:rsidRPr="00753E79" w:rsidRDefault="00590532" w:rsidP="009348BE">
            <w:pPr>
              <w:pStyle w:val="ListParagraph"/>
              <w:spacing w:line="276" w:lineRule="auto"/>
              <w:ind w:left="0" w:right="-432"/>
              <w:rPr>
                <w:b/>
              </w:rPr>
            </w:pPr>
            <w:r w:rsidRPr="00753E79">
              <w:rPr>
                <w:b/>
              </w:rPr>
              <w:t>Place</w:t>
            </w:r>
          </w:p>
        </w:tc>
        <w:tc>
          <w:tcPr>
            <w:tcW w:w="2214" w:type="dxa"/>
          </w:tcPr>
          <w:p w14:paraId="0D969293" w14:textId="77777777" w:rsidR="00590532" w:rsidRPr="00753E79" w:rsidRDefault="00590532" w:rsidP="009348BE">
            <w:pPr>
              <w:pStyle w:val="ListParagraph"/>
              <w:spacing w:line="276" w:lineRule="auto"/>
              <w:ind w:left="0" w:right="-432"/>
              <w:rPr>
                <w:b/>
              </w:rPr>
            </w:pPr>
            <w:r w:rsidRPr="00753E79">
              <w:rPr>
                <w:b/>
              </w:rPr>
              <w:t>SFM</w:t>
            </w:r>
          </w:p>
        </w:tc>
        <w:tc>
          <w:tcPr>
            <w:tcW w:w="2214" w:type="dxa"/>
          </w:tcPr>
          <w:p w14:paraId="6481BB36" w14:textId="77777777" w:rsidR="00590532" w:rsidRPr="00753E79" w:rsidRDefault="00590532" w:rsidP="009348BE">
            <w:pPr>
              <w:pStyle w:val="ListParagraph"/>
              <w:spacing w:line="276" w:lineRule="auto"/>
              <w:ind w:left="0" w:right="-432"/>
              <w:rPr>
                <w:b/>
              </w:rPr>
            </w:pPr>
            <w:r w:rsidRPr="00753E79">
              <w:rPr>
                <w:b/>
              </w:rPr>
              <w:t>Base Points</w:t>
            </w:r>
          </w:p>
        </w:tc>
        <w:tc>
          <w:tcPr>
            <w:tcW w:w="2214" w:type="dxa"/>
          </w:tcPr>
          <w:p w14:paraId="5FF7EE17" w14:textId="77777777" w:rsidR="00590532" w:rsidRPr="00753E79" w:rsidRDefault="00590532" w:rsidP="009348BE">
            <w:pPr>
              <w:pStyle w:val="ListParagraph"/>
              <w:spacing w:line="276" w:lineRule="auto"/>
              <w:ind w:left="0" w:right="-432"/>
              <w:rPr>
                <w:b/>
              </w:rPr>
            </w:pPr>
            <w:r w:rsidRPr="00753E79">
              <w:rPr>
                <w:b/>
              </w:rPr>
              <w:t>Total</w:t>
            </w:r>
          </w:p>
        </w:tc>
      </w:tr>
      <w:tr w:rsidR="00590532" w14:paraId="4AF09FC8" w14:textId="77777777" w:rsidTr="00590532">
        <w:trPr>
          <w:jc w:val="center"/>
        </w:trPr>
        <w:tc>
          <w:tcPr>
            <w:tcW w:w="2214" w:type="dxa"/>
          </w:tcPr>
          <w:p w14:paraId="568471D6" w14:textId="77777777" w:rsidR="00590532" w:rsidRDefault="00590532" w:rsidP="009348BE">
            <w:pPr>
              <w:pStyle w:val="ListParagraph"/>
              <w:spacing w:line="276" w:lineRule="auto"/>
              <w:ind w:left="0" w:right="-432"/>
            </w:pPr>
            <w:r>
              <w:t>1</w:t>
            </w:r>
            <w:r w:rsidRPr="009A2D44">
              <w:rPr>
                <w:vertAlign w:val="superscript"/>
              </w:rPr>
              <w:t>st</w:t>
            </w:r>
            <w:r>
              <w:t xml:space="preserve"> </w:t>
            </w:r>
          </w:p>
        </w:tc>
        <w:tc>
          <w:tcPr>
            <w:tcW w:w="2214" w:type="dxa"/>
          </w:tcPr>
          <w:p w14:paraId="32100ACA" w14:textId="77777777" w:rsidR="00590532" w:rsidRDefault="00590532" w:rsidP="009348BE">
            <w:pPr>
              <w:pStyle w:val="ListParagraph"/>
              <w:spacing w:line="276" w:lineRule="auto"/>
              <w:ind w:left="0" w:right="-432"/>
            </w:pPr>
            <w:r>
              <w:t>6.86</w:t>
            </w:r>
          </w:p>
        </w:tc>
        <w:tc>
          <w:tcPr>
            <w:tcW w:w="2214" w:type="dxa"/>
          </w:tcPr>
          <w:p w14:paraId="2C7ABE60" w14:textId="12485656" w:rsidR="00590532" w:rsidRDefault="00590532" w:rsidP="009348BE">
            <w:pPr>
              <w:pStyle w:val="ListParagraph"/>
              <w:spacing w:line="276" w:lineRule="auto"/>
              <w:ind w:left="0" w:right="-432"/>
            </w:pPr>
            <w:r>
              <w:t>7</w:t>
            </w:r>
            <w:r w:rsidR="00753E79">
              <w:t>.00</w:t>
            </w:r>
          </w:p>
        </w:tc>
        <w:tc>
          <w:tcPr>
            <w:tcW w:w="2214" w:type="dxa"/>
          </w:tcPr>
          <w:p w14:paraId="7BE63E4A" w14:textId="77777777" w:rsidR="00590532" w:rsidRDefault="00590532" w:rsidP="009348BE">
            <w:pPr>
              <w:pStyle w:val="ListParagraph"/>
              <w:spacing w:line="276" w:lineRule="auto"/>
              <w:ind w:left="0" w:right="-432"/>
            </w:pPr>
            <w:r>
              <w:t>48.02</w:t>
            </w:r>
          </w:p>
        </w:tc>
      </w:tr>
      <w:tr w:rsidR="00590532" w14:paraId="0172AA3F" w14:textId="77777777" w:rsidTr="00590532">
        <w:trPr>
          <w:jc w:val="center"/>
        </w:trPr>
        <w:tc>
          <w:tcPr>
            <w:tcW w:w="2214" w:type="dxa"/>
          </w:tcPr>
          <w:p w14:paraId="0C2EA216" w14:textId="77777777" w:rsidR="00590532" w:rsidRDefault="00590532" w:rsidP="009348BE">
            <w:pPr>
              <w:pStyle w:val="ListParagraph"/>
              <w:spacing w:line="276" w:lineRule="auto"/>
              <w:ind w:left="0" w:right="-432"/>
            </w:pPr>
            <w:r>
              <w:t>2</w:t>
            </w:r>
            <w:r w:rsidRPr="009A2D44">
              <w:rPr>
                <w:vertAlign w:val="superscript"/>
              </w:rPr>
              <w:t>nd</w:t>
            </w:r>
            <w:r>
              <w:t xml:space="preserve"> </w:t>
            </w:r>
          </w:p>
        </w:tc>
        <w:tc>
          <w:tcPr>
            <w:tcW w:w="2214" w:type="dxa"/>
          </w:tcPr>
          <w:p w14:paraId="740CE514" w14:textId="77777777" w:rsidR="00590532" w:rsidRDefault="00590532" w:rsidP="009348BE">
            <w:pPr>
              <w:pStyle w:val="ListParagraph"/>
              <w:spacing w:line="276" w:lineRule="auto"/>
              <w:ind w:left="0" w:right="-432"/>
            </w:pPr>
            <w:r>
              <w:t>6.86</w:t>
            </w:r>
          </w:p>
        </w:tc>
        <w:tc>
          <w:tcPr>
            <w:tcW w:w="2214" w:type="dxa"/>
          </w:tcPr>
          <w:p w14:paraId="2DBD2E39" w14:textId="7C24E50D" w:rsidR="00590532" w:rsidRDefault="00590532" w:rsidP="009348BE">
            <w:pPr>
              <w:pStyle w:val="ListParagraph"/>
              <w:spacing w:line="276" w:lineRule="auto"/>
              <w:ind w:left="0" w:right="-432"/>
            </w:pPr>
            <w:r>
              <w:t>5</w:t>
            </w:r>
            <w:r w:rsidR="002A27EE">
              <w:t>.5</w:t>
            </w:r>
            <w:r w:rsidR="00753E79">
              <w:t>0</w:t>
            </w:r>
          </w:p>
        </w:tc>
        <w:tc>
          <w:tcPr>
            <w:tcW w:w="2214" w:type="dxa"/>
          </w:tcPr>
          <w:p w14:paraId="4DA30138" w14:textId="4FAEE806" w:rsidR="00590532" w:rsidRDefault="002A27EE" w:rsidP="009348BE">
            <w:pPr>
              <w:pStyle w:val="ListParagraph"/>
              <w:spacing w:line="276" w:lineRule="auto"/>
              <w:ind w:left="0" w:right="-432"/>
            </w:pPr>
            <w:r>
              <w:t>37.73</w:t>
            </w:r>
          </w:p>
        </w:tc>
      </w:tr>
      <w:tr w:rsidR="00590532" w14:paraId="3EE299DD" w14:textId="77777777" w:rsidTr="00590532">
        <w:trPr>
          <w:jc w:val="center"/>
        </w:trPr>
        <w:tc>
          <w:tcPr>
            <w:tcW w:w="2214" w:type="dxa"/>
          </w:tcPr>
          <w:p w14:paraId="26F9F1C1" w14:textId="77777777" w:rsidR="00590532" w:rsidRDefault="00590532" w:rsidP="009348BE">
            <w:pPr>
              <w:pStyle w:val="ListParagraph"/>
              <w:spacing w:line="276" w:lineRule="auto"/>
              <w:ind w:left="0" w:right="-432"/>
            </w:pPr>
            <w:r>
              <w:t>3-4</w:t>
            </w:r>
            <w:r w:rsidRPr="009A2D44">
              <w:rPr>
                <w:vertAlign w:val="superscript"/>
              </w:rPr>
              <w:t>th</w:t>
            </w:r>
            <w:r>
              <w:t xml:space="preserve"> </w:t>
            </w:r>
          </w:p>
        </w:tc>
        <w:tc>
          <w:tcPr>
            <w:tcW w:w="2214" w:type="dxa"/>
          </w:tcPr>
          <w:p w14:paraId="5DBC3BCD" w14:textId="77777777" w:rsidR="00590532" w:rsidRDefault="00590532" w:rsidP="009348BE">
            <w:pPr>
              <w:pStyle w:val="ListParagraph"/>
              <w:spacing w:line="276" w:lineRule="auto"/>
              <w:ind w:left="0" w:right="-432"/>
            </w:pPr>
            <w:r>
              <w:t>6.86</w:t>
            </w:r>
          </w:p>
        </w:tc>
        <w:tc>
          <w:tcPr>
            <w:tcW w:w="2214" w:type="dxa"/>
          </w:tcPr>
          <w:p w14:paraId="194EFFC7" w14:textId="463945D5" w:rsidR="00590532" w:rsidRDefault="00590532" w:rsidP="009348BE">
            <w:pPr>
              <w:pStyle w:val="ListParagraph"/>
              <w:spacing w:line="276" w:lineRule="auto"/>
              <w:ind w:left="0" w:right="-432"/>
            </w:pPr>
            <w:r>
              <w:t>4</w:t>
            </w:r>
            <w:r w:rsidR="002A27EE">
              <w:t>.25</w:t>
            </w:r>
          </w:p>
        </w:tc>
        <w:tc>
          <w:tcPr>
            <w:tcW w:w="2214" w:type="dxa"/>
          </w:tcPr>
          <w:p w14:paraId="06B73E6D" w14:textId="7C5C3674" w:rsidR="00590532" w:rsidRDefault="002A27EE" w:rsidP="009348BE">
            <w:pPr>
              <w:pStyle w:val="ListParagraph"/>
              <w:spacing w:line="276" w:lineRule="auto"/>
              <w:ind w:left="0" w:right="-432"/>
            </w:pPr>
            <w:r>
              <w:t>29.16</w:t>
            </w:r>
          </w:p>
        </w:tc>
      </w:tr>
      <w:tr w:rsidR="00590532" w14:paraId="419C001F" w14:textId="77777777" w:rsidTr="00590532">
        <w:trPr>
          <w:jc w:val="center"/>
        </w:trPr>
        <w:tc>
          <w:tcPr>
            <w:tcW w:w="2214" w:type="dxa"/>
          </w:tcPr>
          <w:p w14:paraId="16358AF4" w14:textId="77777777" w:rsidR="00590532" w:rsidRDefault="00590532" w:rsidP="009348BE">
            <w:pPr>
              <w:pStyle w:val="ListParagraph"/>
              <w:spacing w:line="276" w:lineRule="auto"/>
              <w:ind w:left="0" w:right="-432"/>
            </w:pPr>
            <w:r>
              <w:t>5-8</w:t>
            </w:r>
            <w:r w:rsidRPr="009A2D44">
              <w:rPr>
                <w:vertAlign w:val="superscript"/>
              </w:rPr>
              <w:t>th</w:t>
            </w:r>
            <w:r>
              <w:t xml:space="preserve"> </w:t>
            </w:r>
          </w:p>
        </w:tc>
        <w:tc>
          <w:tcPr>
            <w:tcW w:w="2214" w:type="dxa"/>
          </w:tcPr>
          <w:p w14:paraId="1F207A0D" w14:textId="77777777" w:rsidR="00590532" w:rsidRDefault="00590532" w:rsidP="009348BE">
            <w:pPr>
              <w:pStyle w:val="ListParagraph"/>
              <w:spacing w:line="276" w:lineRule="auto"/>
              <w:ind w:left="0" w:right="-432"/>
            </w:pPr>
            <w:r>
              <w:t>6.86</w:t>
            </w:r>
          </w:p>
        </w:tc>
        <w:tc>
          <w:tcPr>
            <w:tcW w:w="2214" w:type="dxa"/>
          </w:tcPr>
          <w:p w14:paraId="3BF6FC2C" w14:textId="2E740C53" w:rsidR="00590532" w:rsidRDefault="00590532" w:rsidP="009348BE">
            <w:pPr>
              <w:pStyle w:val="ListParagraph"/>
              <w:spacing w:line="276" w:lineRule="auto"/>
              <w:ind w:left="0" w:right="-432"/>
            </w:pPr>
            <w:r>
              <w:t>3</w:t>
            </w:r>
            <w:r w:rsidR="00753E79">
              <w:t>.00</w:t>
            </w:r>
          </w:p>
        </w:tc>
        <w:tc>
          <w:tcPr>
            <w:tcW w:w="2214" w:type="dxa"/>
          </w:tcPr>
          <w:p w14:paraId="0D34E759" w14:textId="77777777" w:rsidR="00590532" w:rsidRDefault="00590532" w:rsidP="009348BE">
            <w:pPr>
              <w:pStyle w:val="ListParagraph"/>
              <w:spacing w:line="276" w:lineRule="auto"/>
              <w:ind w:left="0" w:right="-432"/>
            </w:pPr>
            <w:r>
              <w:t>20.58</w:t>
            </w:r>
          </w:p>
        </w:tc>
      </w:tr>
    </w:tbl>
    <w:p w14:paraId="18BD8758" w14:textId="792DAAB6" w:rsidR="00590532" w:rsidRDefault="00590532" w:rsidP="009348BE">
      <w:pPr>
        <w:pStyle w:val="ListParagraph"/>
        <w:spacing w:line="276" w:lineRule="auto"/>
        <w:ind w:left="0" w:right="-432"/>
        <w:jc w:val="center"/>
      </w:pPr>
      <w:r>
        <w:t>* Thi</w:t>
      </w:r>
      <w:r w:rsidR="002A27EE">
        <w:t>s event yields a total of 226.38</w:t>
      </w:r>
      <w:r>
        <w:t xml:space="preserve"> points</w:t>
      </w:r>
    </w:p>
    <w:p w14:paraId="47E1E990" w14:textId="77777777" w:rsidR="00590532" w:rsidRDefault="00590532" w:rsidP="009348BE">
      <w:pPr>
        <w:ind w:right="-432"/>
      </w:pPr>
    </w:p>
    <w:p w14:paraId="168C6CDF" w14:textId="77777777" w:rsidR="00590532" w:rsidRDefault="00590532" w:rsidP="009348BE">
      <w:pPr>
        <w:ind w:right="-432"/>
      </w:pPr>
    </w:p>
    <w:p w14:paraId="5A09FD1D" w14:textId="42657D6A" w:rsidR="00590532" w:rsidRDefault="00590532" w:rsidP="009348BE">
      <w:pPr>
        <w:pStyle w:val="ListParagraph"/>
        <w:spacing w:line="276" w:lineRule="auto"/>
        <w:ind w:left="0" w:right="-432"/>
      </w:pPr>
      <w:r>
        <w:t>Example 2: The Shootout - 16-team event, $22 000 purse, the total SFM currently used: 2.22 - (2.22/16)*24 = 3.33*(1.0 # multiplier)*(1.15 purse multiplier) = 3.83</w:t>
      </w:r>
    </w:p>
    <w:p w14:paraId="4C402BDC" w14:textId="77777777" w:rsidR="00590532" w:rsidRDefault="00590532" w:rsidP="009348BE">
      <w:pPr>
        <w:pStyle w:val="ListParagraph"/>
        <w:spacing w:line="276" w:lineRule="auto"/>
        <w:ind w:left="0" w:right="-432"/>
      </w:pPr>
    </w:p>
    <w:tbl>
      <w:tblPr>
        <w:tblStyle w:val="TableGrid"/>
        <w:tblW w:w="0" w:type="auto"/>
        <w:jc w:val="center"/>
        <w:tblInd w:w="1440" w:type="dxa"/>
        <w:tblLook w:val="04A0" w:firstRow="1" w:lastRow="0" w:firstColumn="1" w:lastColumn="0" w:noHBand="0" w:noVBand="1"/>
      </w:tblPr>
      <w:tblGrid>
        <w:gridCol w:w="1855"/>
        <w:gridCol w:w="1830"/>
        <w:gridCol w:w="1877"/>
        <w:gridCol w:w="1854"/>
      </w:tblGrid>
      <w:tr w:rsidR="00590532" w14:paraId="3BF14C4C" w14:textId="77777777" w:rsidTr="00753E79">
        <w:trPr>
          <w:jc w:val="center"/>
        </w:trPr>
        <w:tc>
          <w:tcPr>
            <w:tcW w:w="1855" w:type="dxa"/>
          </w:tcPr>
          <w:p w14:paraId="54DF6718" w14:textId="77777777" w:rsidR="00590532" w:rsidRPr="00753E79" w:rsidRDefault="00590532" w:rsidP="009348BE">
            <w:pPr>
              <w:pStyle w:val="ListParagraph"/>
              <w:spacing w:line="276" w:lineRule="auto"/>
              <w:ind w:left="0" w:right="-432"/>
              <w:rPr>
                <w:b/>
              </w:rPr>
            </w:pPr>
            <w:r w:rsidRPr="00753E79">
              <w:rPr>
                <w:b/>
              </w:rPr>
              <w:t>Place</w:t>
            </w:r>
          </w:p>
        </w:tc>
        <w:tc>
          <w:tcPr>
            <w:tcW w:w="1830" w:type="dxa"/>
          </w:tcPr>
          <w:p w14:paraId="1982EB33" w14:textId="77777777" w:rsidR="00590532" w:rsidRPr="00753E79" w:rsidRDefault="00590532" w:rsidP="009348BE">
            <w:pPr>
              <w:pStyle w:val="ListParagraph"/>
              <w:spacing w:line="276" w:lineRule="auto"/>
              <w:ind w:left="0" w:right="-432"/>
              <w:rPr>
                <w:b/>
              </w:rPr>
            </w:pPr>
            <w:r w:rsidRPr="00753E79">
              <w:rPr>
                <w:b/>
              </w:rPr>
              <w:t>SFM</w:t>
            </w:r>
          </w:p>
        </w:tc>
        <w:tc>
          <w:tcPr>
            <w:tcW w:w="1877" w:type="dxa"/>
          </w:tcPr>
          <w:p w14:paraId="4E85B115" w14:textId="77777777" w:rsidR="00590532" w:rsidRPr="00753E79" w:rsidRDefault="00590532" w:rsidP="009348BE">
            <w:pPr>
              <w:pStyle w:val="ListParagraph"/>
              <w:spacing w:line="276" w:lineRule="auto"/>
              <w:ind w:left="0" w:right="-432"/>
              <w:rPr>
                <w:b/>
              </w:rPr>
            </w:pPr>
            <w:r w:rsidRPr="00753E79">
              <w:rPr>
                <w:b/>
              </w:rPr>
              <w:t>Base Points</w:t>
            </w:r>
          </w:p>
        </w:tc>
        <w:tc>
          <w:tcPr>
            <w:tcW w:w="1854" w:type="dxa"/>
          </w:tcPr>
          <w:p w14:paraId="79E75D40" w14:textId="77777777" w:rsidR="00590532" w:rsidRPr="00753E79" w:rsidRDefault="00590532" w:rsidP="009348BE">
            <w:pPr>
              <w:pStyle w:val="ListParagraph"/>
              <w:spacing w:line="276" w:lineRule="auto"/>
              <w:ind w:left="0" w:right="-432"/>
              <w:rPr>
                <w:b/>
              </w:rPr>
            </w:pPr>
            <w:r w:rsidRPr="00753E79">
              <w:rPr>
                <w:b/>
              </w:rPr>
              <w:t>Total</w:t>
            </w:r>
          </w:p>
        </w:tc>
      </w:tr>
      <w:tr w:rsidR="00753E79" w14:paraId="1B4FB12D" w14:textId="77777777" w:rsidTr="00753E79">
        <w:trPr>
          <w:jc w:val="center"/>
        </w:trPr>
        <w:tc>
          <w:tcPr>
            <w:tcW w:w="1855" w:type="dxa"/>
          </w:tcPr>
          <w:p w14:paraId="3308D6C1" w14:textId="77777777" w:rsidR="00753E79" w:rsidRDefault="00753E79" w:rsidP="009348BE">
            <w:pPr>
              <w:pStyle w:val="ListParagraph"/>
              <w:spacing w:line="276" w:lineRule="auto"/>
              <w:ind w:left="0" w:right="-432"/>
            </w:pPr>
            <w:r>
              <w:t>1</w:t>
            </w:r>
            <w:r w:rsidRPr="009A2D44">
              <w:rPr>
                <w:vertAlign w:val="superscript"/>
              </w:rPr>
              <w:t>st</w:t>
            </w:r>
            <w:r>
              <w:t xml:space="preserve"> </w:t>
            </w:r>
          </w:p>
        </w:tc>
        <w:tc>
          <w:tcPr>
            <w:tcW w:w="1830" w:type="dxa"/>
          </w:tcPr>
          <w:p w14:paraId="7523671A" w14:textId="77777777" w:rsidR="00753E79" w:rsidRDefault="00753E79" w:rsidP="009348BE">
            <w:pPr>
              <w:pStyle w:val="ListParagraph"/>
              <w:spacing w:line="276" w:lineRule="auto"/>
              <w:ind w:left="0" w:right="-432"/>
            </w:pPr>
            <w:r>
              <w:t>3.83</w:t>
            </w:r>
          </w:p>
        </w:tc>
        <w:tc>
          <w:tcPr>
            <w:tcW w:w="1877" w:type="dxa"/>
          </w:tcPr>
          <w:p w14:paraId="6A374B1A" w14:textId="130A5BF6" w:rsidR="00753E79" w:rsidRDefault="00753E79" w:rsidP="009348BE">
            <w:pPr>
              <w:pStyle w:val="ListParagraph"/>
              <w:spacing w:line="276" w:lineRule="auto"/>
              <w:ind w:left="0" w:right="-432"/>
            </w:pPr>
            <w:r>
              <w:t>7.00</w:t>
            </w:r>
          </w:p>
        </w:tc>
        <w:tc>
          <w:tcPr>
            <w:tcW w:w="1854" w:type="dxa"/>
          </w:tcPr>
          <w:p w14:paraId="66490B9F" w14:textId="77777777" w:rsidR="00753E79" w:rsidRDefault="00753E79" w:rsidP="009348BE">
            <w:pPr>
              <w:pStyle w:val="ListParagraph"/>
              <w:spacing w:line="276" w:lineRule="auto"/>
              <w:ind w:left="0" w:right="-432"/>
            </w:pPr>
            <w:r>
              <w:t>26.81</w:t>
            </w:r>
          </w:p>
        </w:tc>
      </w:tr>
      <w:tr w:rsidR="00753E79" w14:paraId="53E9C8DE" w14:textId="77777777" w:rsidTr="00753E79">
        <w:trPr>
          <w:jc w:val="center"/>
        </w:trPr>
        <w:tc>
          <w:tcPr>
            <w:tcW w:w="1855" w:type="dxa"/>
          </w:tcPr>
          <w:p w14:paraId="5B4CB9BA" w14:textId="77777777" w:rsidR="00753E79" w:rsidRDefault="00753E79" w:rsidP="009348BE">
            <w:pPr>
              <w:pStyle w:val="ListParagraph"/>
              <w:spacing w:line="276" w:lineRule="auto"/>
              <w:ind w:left="0" w:right="-432"/>
            </w:pPr>
            <w:r>
              <w:t>2</w:t>
            </w:r>
            <w:r w:rsidRPr="009A2D44">
              <w:rPr>
                <w:vertAlign w:val="superscript"/>
              </w:rPr>
              <w:t>nd</w:t>
            </w:r>
            <w:r>
              <w:t xml:space="preserve"> </w:t>
            </w:r>
          </w:p>
        </w:tc>
        <w:tc>
          <w:tcPr>
            <w:tcW w:w="1830" w:type="dxa"/>
          </w:tcPr>
          <w:p w14:paraId="297DFF1F" w14:textId="77777777" w:rsidR="00753E79" w:rsidRDefault="00753E79" w:rsidP="009348BE">
            <w:pPr>
              <w:pStyle w:val="ListParagraph"/>
              <w:spacing w:line="276" w:lineRule="auto"/>
              <w:ind w:left="0" w:right="-432"/>
            </w:pPr>
            <w:r>
              <w:t>3.83</w:t>
            </w:r>
          </w:p>
        </w:tc>
        <w:tc>
          <w:tcPr>
            <w:tcW w:w="1877" w:type="dxa"/>
          </w:tcPr>
          <w:p w14:paraId="61B106FA" w14:textId="567CE084" w:rsidR="00753E79" w:rsidRDefault="00753E79" w:rsidP="009348BE">
            <w:pPr>
              <w:pStyle w:val="ListParagraph"/>
              <w:spacing w:line="276" w:lineRule="auto"/>
              <w:ind w:left="0" w:right="-432"/>
            </w:pPr>
            <w:r>
              <w:t>5.50</w:t>
            </w:r>
          </w:p>
        </w:tc>
        <w:tc>
          <w:tcPr>
            <w:tcW w:w="1854" w:type="dxa"/>
          </w:tcPr>
          <w:p w14:paraId="5F657FEE" w14:textId="0B4F3B64" w:rsidR="00753E79" w:rsidRDefault="00753E79" w:rsidP="009348BE">
            <w:pPr>
              <w:pStyle w:val="ListParagraph"/>
              <w:spacing w:line="276" w:lineRule="auto"/>
              <w:ind w:left="0" w:right="-432"/>
            </w:pPr>
            <w:r>
              <w:t>21.07</w:t>
            </w:r>
          </w:p>
        </w:tc>
      </w:tr>
      <w:tr w:rsidR="00753E79" w14:paraId="19D37961" w14:textId="77777777" w:rsidTr="00753E79">
        <w:trPr>
          <w:jc w:val="center"/>
        </w:trPr>
        <w:tc>
          <w:tcPr>
            <w:tcW w:w="1855" w:type="dxa"/>
          </w:tcPr>
          <w:p w14:paraId="4ACBCCB5" w14:textId="77777777" w:rsidR="00753E79" w:rsidRDefault="00753E79" w:rsidP="009348BE">
            <w:pPr>
              <w:pStyle w:val="ListParagraph"/>
              <w:spacing w:line="276" w:lineRule="auto"/>
              <w:ind w:left="0" w:right="-432"/>
            </w:pPr>
            <w:r>
              <w:t>3-4</w:t>
            </w:r>
            <w:r w:rsidRPr="009A2D44">
              <w:rPr>
                <w:vertAlign w:val="superscript"/>
              </w:rPr>
              <w:t>th</w:t>
            </w:r>
            <w:r>
              <w:t xml:space="preserve"> </w:t>
            </w:r>
          </w:p>
        </w:tc>
        <w:tc>
          <w:tcPr>
            <w:tcW w:w="1830" w:type="dxa"/>
          </w:tcPr>
          <w:p w14:paraId="0779105A" w14:textId="77777777" w:rsidR="00753E79" w:rsidRDefault="00753E79" w:rsidP="009348BE">
            <w:pPr>
              <w:pStyle w:val="ListParagraph"/>
              <w:spacing w:line="276" w:lineRule="auto"/>
              <w:ind w:left="0" w:right="-432"/>
            </w:pPr>
            <w:r>
              <w:t>3.83</w:t>
            </w:r>
          </w:p>
        </w:tc>
        <w:tc>
          <w:tcPr>
            <w:tcW w:w="1877" w:type="dxa"/>
          </w:tcPr>
          <w:p w14:paraId="4A7502F1" w14:textId="0A543805" w:rsidR="00753E79" w:rsidRDefault="00753E79" w:rsidP="009348BE">
            <w:pPr>
              <w:pStyle w:val="ListParagraph"/>
              <w:spacing w:line="276" w:lineRule="auto"/>
              <w:ind w:left="0" w:right="-432"/>
            </w:pPr>
            <w:r>
              <w:t>4.25</w:t>
            </w:r>
          </w:p>
        </w:tc>
        <w:tc>
          <w:tcPr>
            <w:tcW w:w="1854" w:type="dxa"/>
          </w:tcPr>
          <w:p w14:paraId="05FEC4E0" w14:textId="6D69242F" w:rsidR="00753E79" w:rsidRDefault="00753E79" w:rsidP="009348BE">
            <w:pPr>
              <w:pStyle w:val="ListParagraph"/>
              <w:spacing w:line="276" w:lineRule="auto"/>
              <w:ind w:left="0" w:right="-432"/>
            </w:pPr>
            <w:r>
              <w:t>16.28</w:t>
            </w:r>
          </w:p>
        </w:tc>
      </w:tr>
      <w:tr w:rsidR="00753E79" w14:paraId="0BDAC353" w14:textId="77777777" w:rsidTr="00753E79">
        <w:trPr>
          <w:jc w:val="center"/>
        </w:trPr>
        <w:tc>
          <w:tcPr>
            <w:tcW w:w="1855" w:type="dxa"/>
          </w:tcPr>
          <w:p w14:paraId="60E433F6" w14:textId="77777777" w:rsidR="00753E79" w:rsidRDefault="00753E79" w:rsidP="009348BE">
            <w:pPr>
              <w:pStyle w:val="ListParagraph"/>
              <w:spacing w:line="276" w:lineRule="auto"/>
              <w:ind w:left="0" w:right="-432"/>
            </w:pPr>
            <w:r>
              <w:t>5-8</w:t>
            </w:r>
            <w:r w:rsidRPr="009A2D44">
              <w:rPr>
                <w:vertAlign w:val="superscript"/>
              </w:rPr>
              <w:t>th</w:t>
            </w:r>
            <w:r>
              <w:t xml:space="preserve"> </w:t>
            </w:r>
          </w:p>
        </w:tc>
        <w:tc>
          <w:tcPr>
            <w:tcW w:w="1830" w:type="dxa"/>
          </w:tcPr>
          <w:p w14:paraId="2DAA4746" w14:textId="77777777" w:rsidR="00753E79" w:rsidRDefault="00753E79" w:rsidP="009348BE">
            <w:pPr>
              <w:pStyle w:val="ListParagraph"/>
              <w:spacing w:line="276" w:lineRule="auto"/>
              <w:ind w:left="0" w:right="-432"/>
            </w:pPr>
            <w:r>
              <w:t>3.83</w:t>
            </w:r>
          </w:p>
        </w:tc>
        <w:tc>
          <w:tcPr>
            <w:tcW w:w="1877" w:type="dxa"/>
          </w:tcPr>
          <w:p w14:paraId="787D1946" w14:textId="01E63281" w:rsidR="00753E79" w:rsidRDefault="00753E79" w:rsidP="009348BE">
            <w:pPr>
              <w:pStyle w:val="ListParagraph"/>
              <w:spacing w:line="276" w:lineRule="auto"/>
              <w:ind w:left="0" w:right="-432"/>
            </w:pPr>
            <w:r>
              <w:t>3.00</w:t>
            </w:r>
          </w:p>
        </w:tc>
        <w:tc>
          <w:tcPr>
            <w:tcW w:w="1854" w:type="dxa"/>
          </w:tcPr>
          <w:p w14:paraId="723F9241" w14:textId="77777777" w:rsidR="00753E79" w:rsidRDefault="00753E79" w:rsidP="009348BE">
            <w:pPr>
              <w:pStyle w:val="ListParagraph"/>
              <w:spacing w:line="276" w:lineRule="auto"/>
              <w:ind w:left="0" w:right="-432"/>
            </w:pPr>
            <w:r>
              <w:t>11.49</w:t>
            </w:r>
          </w:p>
        </w:tc>
      </w:tr>
    </w:tbl>
    <w:p w14:paraId="6283F66E" w14:textId="4C25EF81" w:rsidR="00590532" w:rsidRDefault="00590532" w:rsidP="009348BE">
      <w:pPr>
        <w:pStyle w:val="ListParagraph"/>
        <w:spacing w:line="276" w:lineRule="auto"/>
        <w:ind w:left="0" w:right="-432"/>
        <w:jc w:val="center"/>
      </w:pPr>
      <w:r>
        <w:t>* This event yields a total of 12</w:t>
      </w:r>
      <w:r w:rsidR="002A27EE">
        <w:t>6.39</w:t>
      </w:r>
      <w:r>
        <w:t xml:space="preserve"> points</w:t>
      </w:r>
    </w:p>
    <w:p w14:paraId="20204B15" w14:textId="77777777" w:rsidR="00590532" w:rsidRDefault="00590532" w:rsidP="009348BE">
      <w:pPr>
        <w:pStyle w:val="ListParagraph"/>
        <w:spacing w:line="276" w:lineRule="auto"/>
        <w:ind w:left="0" w:right="-432"/>
      </w:pPr>
    </w:p>
    <w:p w14:paraId="11ED3AE0" w14:textId="4A891383" w:rsidR="00590532" w:rsidRDefault="00590532" w:rsidP="009348BE">
      <w:pPr>
        <w:pStyle w:val="ListParagraph"/>
        <w:spacing w:line="276" w:lineRule="auto"/>
        <w:ind w:left="0" w:right="-432"/>
      </w:pPr>
      <w:r>
        <w:t>Example 3: Brockville - 24-team, $45 400 purse, the total SFM currently used: 5.92 - (5.92/24)*24 = max @ 5.0*(1.25 # multiplier)*(1.23 purse multiplier) = 7.69</w:t>
      </w:r>
    </w:p>
    <w:p w14:paraId="54F85979" w14:textId="77777777" w:rsidR="00590532" w:rsidRDefault="00590532" w:rsidP="009348BE">
      <w:pPr>
        <w:pStyle w:val="ListParagraph"/>
        <w:spacing w:line="276" w:lineRule="auto"/>
        <w:ind w:left="0" w:right="-432"/>
      </w:pPr>
    </w:p>
    <w:tbl>
      <w:tblPr>
        <w:tblStyle w:val="TableGrid"/>
        <w:tblW w:w="0" w:type="auto"/>
        <w:jc w:val="center"/>
        <w:tblInd w:w="1440" w:type="dxa"/>
        <w:tblLook w:val="04A0" w:firstRow="1" w:lastRow="0" w:firstColumn="1" w:lastColumn="0" w:noHBand="0" w:noVBand="1"/>
      </w:tblPr>
      <w:tblGrid>
        <w:gridCol w:w="1855"/>
        <w:gridCol w:w="1830"/>
        <w:gridCol w:w="1877"/>
        <w:gridCol w:w="1854"/>
      </w:tblGrid>
      <w:tr w:rsidR="00590532" w14:paraId="2F339A8D" w14:textId="77777777" w:rsidTr="00753E79">
        <w:trPr>
          <w:jc w:val="center"/>
        </w:trPr>
        <w:tc>
          <w:tcPr>
            <w:tcW w:w="1855" w:type="dxa"/>
          </w:tcPr>
          <w:p w14:paraId="568D5657" w14:textId="77777777" w:rsidR="00590532" w:rsidRPr="00753E79" w:rsidRDefault="00590532" w:rsidP="009348BE">
            <w:pPr>
              <w:pStyle w:val="ListParagraph"/>
              <w:spacing w:line="276" w:lineRule="auto"/>
              <w:ind w:left="0" w:right="-432"/>
              <w:rPr>
                <w:b/>
              </w:rPr>
            </w:pPr>
            <w:r w:rsidRPr="00753E79">
              <w:rPr>
                <w:b/>
              </w:rPr>
              <w:t>Place</w:t>
            </w:r>
          </w:p>
        </w:tc>
        <w:tc>
          <w:tcPr>
            <w:tcW w:w="1830" w:type="dxa"/>
          </w:tcPr>
          <w:p w14:paraId="07362A37" w14:textId="77777777" w:rsidR="00590532" w:rsidRPr="00753E79" w:rsidRDefault="00590532" w:rsidP="009348BE">
            <w:pPr>
              <w:pStyle w:val="ListParagraph"/>
              <w:spacing w:line="276" w:lineRule="auto"/>
              <w:ind w:left="0" w:right="-432"/>
              <w:rPr>
                <w:b/>
              </w:rPr>
            </w:pPr>
            <w:r w:rsidRPr="00753E79">
              <w:rPr>
                <w:b/>
              </w:rPr>
              <w:t>SFM</w:t>
            </w:r>
          </w:p>
        </w:tc>
        <w:tc>
          <w:tcPr>
            <w:tcW w:w="1877" w:type="dxa"/>
          </w:tcPr>
          <w:p w14:paraId="43FE34F4" w14:textId="77777777" w:rsidR="00590532" w:rsidRPr="00753E79" w:rsidRDefault="00590532" w:rsidP="009348BE">
            <w:pPr>
              <w:pStyle w:val="ListParagraph"/>
              <w:spacing w:line="276" w:lineRule="auto"/>
              <w:ind w:left="0" w:right="-432"/>
              <w:rPr>
                <w:b/>
              </w:rPr>
            </w:pPr>
            <w:r w:rsidRPr="00753E79">
              <w:rPr>
                <w:b/>
              </w:rPr>
              <w:t>Base Points</w:t>
            </w:r>
          </w:p>
        </w:tc>
        <w:tc>
          <w:tcPr>
            <w:tcW w:w="1854" w:type="dxa"/>
          </w:tcPr>
          <w:p w14:paraId="0A425E98" w14:textId="77777777" w:rsidR="00590532" w:rsidRPr="00753E79" w:rsidRDefault="00590532" w:rsidP="009348BE">
            <w:pPr>
              <w:pStyle w:val="ListParagraph"/>
              <w:spacing w:line="276" w:lineRule="auto"/>
              <w:ind w:left="0" w:right="-432"/>
              <w:rPr>
                <w:b/>
              </w:rPr>
            </w:pPr>
            <w:r w:rsidRPr="00753E79">
              <w:rPr>
                <w:b/>
              </w:rPr>
              <w:t>Total</w:t>
            </w:r>
          </w:p>
        </w:tc>
      </w:tr>
      <w:tr w:rsidR="00753E79" w14:paraId="34650377" w14:textId="77777777" w:rsidTr="00753E79">
        <w:trPr>
          <w:jc w:val="center"/>
        </w:trPr>
        <w:tc>
          <w:tcPr>
            <w:tcW w:w="1855" w:type="dxa"/>
          </w:tcPr>
          <w:p w14:paraId="69BCE8F0" w14:textId="77777777" w:rsidR="00753E79" w:rsidRDefault="00753E79" w:rsidP="009348BE">
            <w:pPr>
              <w:pStyle w:val="ListParagraph"/>
              <w:spacing w:line="276" w:lineRule="auto"/>
              <w:ind w:left="0" w:right="-432"/>
            </w:pPr>
            <w:r>
              <w:t>1</w:t>
            </w:r>
            <w:r w:rsidRPr="009A2D44">
              <w:rPr>
                <w:vertAlign w:val="superscript"/>
              </w:rPr>
              <w:t>st</w:t>
            </w:r>
            <w:r>
              <w:t xml:space="preserve"> </w:t>
            </w:r>
          </w:p>
        </w:tc>
        <w:tc>
          <w:tcPr>
            <w:tcW w:w="1830" w:type="dxa"/>
          </w:tcPr>
          <w:p w14:paraId="0F41379A" w14:textId="77777777" w:rsidR="00753E79" w:rsidRDefault="00753E79" w:rsidP="009348BE">
            <w:pPr>
              <w:pStyle w:val="ListParagraph"/>
              <w:spacing w:line="276" w:lineRule="auto"/>
              <w:ind w:left="0" w:right="-432"/>
            </w:pPr>
            <w:r>
              <w:t>7.69</w:t>
            </w:r>
          </w:p>
        </w:tc>
        <w:tc>
          <w:tcPr>
            <w:tcW w:w="1877" w:type="dxa"/>
          </w:tcPr>
          <w:p w14:paraId="53FEBE73" w14:textId="76681B99" w:rsidR="00753E79" w:rsidRDefault="00753E79" w:rsidP="009348BE">
            <w:pPr>
              <w:pStyle w:val="ListParagraph"/>
              <w:spacing w:line="276" w:lineRule="auto"/>
              <w:ind w:left="0" w:right="-432"/>
            </w:pPr>
            <w:r>
              <w:t>7.00</w:t>
            </w:r>
          </w:p>
        </w:tc>
        <w:tc>
          <w:tcPr>
            <w:tcW w:w="1854" w:type="dxa"/>
          </w:tcPr>
          <w:p w14:paraId="6EDD21C2" w14:textId="77777777" w:rsidR="00753E79" w:rsidRDefault="00753E79" w:rsidP="009348BE">
            <w:pPr>
              <w:pStyle w:val="ListParagraph"/>
              <w:spacing w:line="276" w:lineRule="auto"/>
              <w:ind w:left="0" w:right="-432"/>
            </w:pPr>
            <w:r>
              <w:t>53.83</w:t>
            </w:r>
          </w:p>
        </w:tc>
      </w:tr>
      <w:tr w:rsidR="00753E79" w14:paraId="53998736" w14:textId="77777777" w:rsidTr="00753E79">
        <w:trPr>
          <w:jc w:val="center"/>
        </w:trPr>
        <w:tc>
          <w:tcPr>
            <w:tcW w:w="1855" w:type="dxa"/>
          </w:tcPr>
          <w:p w14:paraId="2242CCF7" w14:textId="77777777" w:rsidR="00753E79" w:rsidRDefault="00753E79" w:rsidP="009348BE">
            <w:pPr>
              <w:pStyle w:val="ListParagraph"/>
              <w:spacing w:line="276" w:lineRule="auto"/>
              <w:ind w:left="0" w:right="-432"/>
            </w:pPr>
            <w:r>
              <w:t>2</w:t>
            </w:r>
            <w:r w:rsidRPr="009A2D44">
              <w:rPr>
                <w:vertAlign w:val="superscript"/>
              </w:rPr>
              <w:t>nd</w:t>
            </w:r>
            <w:r>
              <w:t xml:space="preserve"> </w:t>
            </w:r>
          </w:p>
        </w:tc>
        <w:tc>
          <w:tcPr>
            <w:tcW w:w="1830" w:type="dxa"/>
          </w:tcPr>
          <w:p w14:paraId="77BDE64F" w14:textId="77777777" w:rsidR="00753E79" w:rsidRDefault="00753E79" w:rsidP="009348BE">
            <w:pPr>
              <w:pStyle w:val="ListParagraph"/>
              <w:spacing w:line="276" w:lineRule="auto"/>
              <w:ind w:left="0" w:right="-432"/>
            </w:pPr>
            <w:r>
              <w:t>7.69</w:t>
            </w:r>
          </w:p>
        </w:tc>
        <w:tc>
          <w:tcPr>
            <w:tcW w:w="1877" w:type="dxa"/>
          </w:tcPr>
          <w:p w14:paraId="4B3968F3" w14:textId="40FECBA3" w:rsidR="00753E79" w:rsidRDefault="00753E79" w:rsidP="009348BE">
            <w:pPr>
              <w:pStyle w:val="ListParagraph"/>
              <w:spacing w:line="276" w:lineRule="auto"/>
              <w:ind w:left="0" w:right="-432"/>
            </w:pPr>
            <w:r>
              <w:t>5.50</w:t>
            </w:r>
          </w:p>
        </w:tc>
        <w:tc>
          <w:tcPr>
            <w:tcW w:w="1854" w:type="dxa"/>
          </w:tcPr>
          <w:p w14:paraId="747BFCAE" w14:textId="4C099A75" w:rsidR="00753E79" w:rsidRDefault="00753E79" w:rsidP="009348BE">
            <w:pPr>
              <w:pStyle w:val="ListParagraph"/>
              <w:spacing w:line="276" w:lineRule="auto"/>
              <w:ind w:left="0" w:right="-432"/>
            </w:pPr>
            <w:r>
              <w:t>42.30</w:t>
            </w:r>
          </w:p>
        </w:tc>
      </w:tr>
      <w:tr w:rsidR="00753E79" w14:paraId="7EABF75B" w14:textId="77777777" w:rsidTr="00753E79">
        <w:trPr>
          <w:jc w:val="center"/>
        </w:trPr>
        <w:tc>
          <w:tcPr>
            <w:tcW w:w="1855" w:type="dxa"/>
          </w:tcPr>
          <w:p w14:paraId="43E500F4" w14:textId="77777777" w:rsidR="00753E79" w:rsidRDefault="00753E79" w:rsidP="009348BE">
            <w:pPr>
              <w:pStyle w:val="ListParagraph"/>
              <w:spacing w:line="276" w:lineRule="auto"/>
              <w:ind w:left="0" w:right="-432"/>
            </w:pPr>
            <w:r>
              <w:t>3-4</w:t>
            </w:r>
            <w:r w:rsidRPr="009A2D44">
              <w:rPr>
                <w:vertAlign w:val="superscript"/>
              </w:rPr>
              <w:t>th</w:t>
            </w:r>
            <w:r>
              <w:t xml:space="preserve"> </w:t>
            </w:r>
          </w:p>
        </w:tc>
        <w:tc>
          <w:tcPr>
            <w:tcW w:w="1830" w:type="dxa"/>
          </w:tcPr>
          <w:p w14:paraId="43625E6B" w14:textId="77777777" w:rsidR="00753E79" w:rsidRDefault="00753E79" w:rsidP="009348BE">
            <w:pPr>
              <w:pStyle w:val="ListParagraph"/>
              <w:spacing w:line="276" w:lineRule="auto"/>
              <w:ind w:left="0" w:right="-432"/>
            </w:pPr>
            <w:r>
              <w:t>7.69</w:t>
            </w:r>
          </w:p>
        </w:tc>
        <w:tc>
          <w:tcPr>
            <w:tcW w:w="1877" w:type="dxa"/>
          </w:tcPr>
          <w:p w14:paraId="2FCCF72E" w14:textId="18F639ED" w:rsidR="00753E79" w:rsidRDefault="00753E79" w:rsidP="009348BE">
            <w:pPr>
              <w:pStyle w:val="ListParagraph"/>
              <w:spacing w:line="276" w:lineRule="auto"/>
              <w:ind w:left="0" w:right="-432"/>
            </w:pPr>
            <w:r>
              <w:t>4.25</w:t>
            </w:r>
          </w:p>
        </w:tc>
        <w:tc>
          <w:tcPr>
            <w:tcW w:w="1854" w:type="dxa"/>
          </w:tcPr>
          <w:p w14:paraId="65335E0D" w14:textId="6BBD5DDA" w:rsidR="00753E79" w:rsidRDefault="00753E79" w:rsidP="009348BE">
            <w:pPr>
              <w:pStyle w:val="ListParagraph"/>
              <w:spacing w:line="276" w:lineRule="auto"/>
              <w:ind w:left="0" w:right="-432"/>
            </w:pPr>
            <w:r>
              <w:t>32.68</w:t>
            </w:r>
          </w:p>
        </w:tc>
      </w:tr>
      <w:tr w:rsidR="00753E79" w14:paraId="76B69EBB" w14:textId="77777777" w:rsidTr="00753E79">
        <w:trPr>
          <w:jc w:val="center"/>
        </w:trPr>
        <w:tc>
          <w:tcPr>
            <w:tcW w:w="1855" w:type="dxa"/>
          </w:tcPr>
          <w:p w14:paraId="263D47B6" w14:textId="77777777" w:rsidR="00753E79" w:rsidRDefault="00753E79" w:rsidP="009348BE">
            <w:pPr>
              <w:pStyle w:val="ListParagraph"/>
              <w:spacing w:line="276" w:lineRule="auto"/>
              <w:ind w:left="0" w:right="-432"/>
            </w:pPr>
            <w:r>
              <w:t>5-8</w:t>
            </w:r>
            <w:r w:rsidRPr="009A2D44">
              <w:rPr>
                <w:vertAlign w:val="superscript"/>
              </w:rPr>
              <w:t>th</w:t>
            </w:r>
            <w:r>
              <w:t xml:space="preserve"> </w:t>
            </w:r>
          </w:p>
        </w:tc>
        <w:tc>
          <w:tcPr>
            <w:tcW w:w="1830" w:type="dxa"/>
          </w:tcPr>
          <w:p w14:paraId="17F4C917" w14:textId="77777777" w:rsidR="00753E79" w:rsidRDefault="00753E79" w:rsidP="009348BE">
            <w:pPr>
              <w:pStyle w:val="ListParagraph"/>
              <w:spacing w:line="276" w:lineRule="auto"/>
              <w:ind w:left="0" w:right="-432"/>
            </w:pPr>
            <w:r>
              <w:t>7.69</w:t>
            </w:r>
          </w:p>
        </w:tc>
        <w:tc>
          <w:tcPr>
            <w:tcW w:w="1877" w:type="dxa"/>
          </w:tcPr>
          <w:p w14:paraId="24D34522" w14:textId="0BF6780D" w:rsidR="00753E79" w:rsidRDefault="00753E79" w:rsidP="009348BE">
            <w:pPr>
              <w:pStyle w:val="ListParagraph"/>
              <w:spacing w:line="276" w:lineRule="auto"/>
              <w:ind w:left="0" w:right="-432"/>
            </w:pPr>
            <w:r>
              <w:t>3.00</w:t>
            </w:r>
          </w:p>
        </w:tc>
        <w:tc>
          <w:tcPr>
            <w:tcW w:w="1854" w:type="dxa"/>
          </w:tcPr>
          <w:p w14:paraId="580FF1A8" w14:textId="77777777" w:rsidR="00753E79" w:rsidRDefault="00753E79" w:rsidP="009348BE">
            <w:pPr>
              <w:pStyle w:val="ListParagraph"/>
              <w:spacing w:line="276" w:lineRule="auto"/>
              <w:ind w:left="0" w:right="-432"/>
            </w:pPr>
            <w:r>
              <w:t>23.07</w:t>
            </w:r>
          </w:p>
        </w:tc>
      </w:tr>
    </w:tbl>
    <w:p w14:paraId="56F470EE" w14:textId="089A93C2" w:rsidR="00590532" w:rsidRDefault="00590532" w:rsidP="009348BE">
      <w:pPr>
        <w:pStyle w:val="ListParagraph"/>
        <w:spacing w:line="276" w:lineRule="auto"/>
        <w:ind w:left="0" w:right="-432"/>
        <w:jc w:val="center"/>
      </w:pPr>
      <w:r>
        <w:t>* This</w:t>
      </w:r>
      <w:r w:rsidR="002A27EE">
        <w:t xml:space="preserve"> event yields a total of 253.77 </w:t>
      </w:r>
      <w:r>
        <w:t>points</w:t>
      </w:r>
    </w:p>
    <w:p w14:paraId="7A9D442E" w14:textId="77777777" w:rsidR="00590532" w:rsidRDefault="00590532" w:rsidP="009348BE">
      <w:pPr>
        <w:pStyle w:val="ListParagraph"/>
        <w:spacing w:line="276" w:lineRule="auto"/>
        <w:ind w:left="0" w:right="-432"/>
        <w:jc w:val="center"/>
      </w:pPr>
    </w:p>
    <w:p w14:paraId="7EB25C01" w14:textId="77777777" w:rsidR="00753E79" w:rsidRDefault="00753E79" w:rsidP="009348BE">
      <w:pPr>
        <w:pStyle w:val="ListParagraph"/>
        <w:spacing w:line="276" w:lineRule="auto"/>
        <w:ind w:left="0" w:right="-432"/>
      </w:pPr>
    </w:p>
    <w:p w14:paraId="1B809CD5" w14:textId="77777777" w:rsidR="00753E79" w:rsidRDefault="00753E79" w:rsidP="009348BE">
      <w:pPr>
        <w:pStyle w:val="ListParagraph"/>
        <w:spacing w:line="276" w:lineRule="auto"/>
        <w:ind w:left="0" w:right="-432"/>
      </w:pPr>
    </w:p>
    <w:p w14:paraId="300D64A2" w14:textId="77777777" w:rsidR="00753E79" w:rsidRDefault="00753E79" w:rsidP="009348BE">
      <w:pPr>
        <w:pStyle w:val="ListParagraph"/>
        <w:spacing w:line="276" w:lineRule="auto"/>
        <w:ind w:left="0" w:right="-432"/>
      </w:pPr>
    </w:p>
    <w:p w14:paraId="0CDA58BF" w14:textId="77777777" w:rsidR="00753E79" w:rsidRDefault="00753E79" w:rsidP="009348BE">
      <w:pPr>
        <w:pStyle w:val="ListParagraph"/>
        <w:spacing w:line="276" w:lineRule="auto"/>
        <w:ind w:left="0" w:right="-432"/>
      </w:pPr>
    </w:p>
    <w:p w14:paraId="2F8B4C36" w14:textId="77777777" w:rsidR="00753E79" w:rsidRDefault="00753E79" w:rsidP="009348BE">
      <w:pPr>
        <w:pStyle w:val="ListParagraph"/>
        <w:spacing w:line="276" w:lineRule="auto"/>
        <w:ind w:left="0" w:right="-432"/>
      </w:pPr>
    </w:p>
    <w:p w14:paraId="0DF78FA2" w14:textId="77777777" w:rsidR="00753E79" w:rsidRDefault="00753E79" w:rsidP="009348BE">
      <w:pPr>
        <w:pStyle w:val="ListParagraph"/>
        <w:spacing w:line="276" w:lineRule="auto"/>
        <w:ind w:left="0" w:right="-432"/>
      </w:pPr>
    </w:p>
    <w:p w14:paraId="7E4DA439" w14:textId="07BE77CA" w:rsidR="00590532" w:rsidRDefault="00590532" w:rsidP="009348BE">
      <w:pPr>
        <w:pStyle w:val="ListParagraph"/>
        <w:spacing w:line="276" w:lineRule="auto"/>
        <w:ind w:left="0" w:right="-432"/>
      </w:pPr>
      <w:r>
        <w:t>Example 4: Crestwood - 24-team, $50 000 purse, the total SFM currently used: 3.61 - (3.61/24)*24 = 3.61*(1.25 # multiplier)*(1.25 purse multiplier) = 5.64</w:t>
      </w:r>
    </w:p>
    <w:p w14:paraId="03A2274E" w14:textId="77777777" w:rsidR="00590532" w:rsidRDefault="00590532" w:rsidP="009348BE">
      <w:pPr>
        <w:pStyle w:val="ListParagraph"/>
        <w:spacing w:line="276" w:lineRule="auto"/>
        <w:ind w:left="0" w:right="-432"/>
      </w:pPr>
    </w:p>
    <w:tbl>
      <w:tblPr>
        <w:tblStyle w:val="TableGrid"/>
        <w:tblW w:w="0" w:type="auto"/>
        <w:jc w:val="center"/>
        <w:tblInd w:w="1440" w:type="dxa"/>
        <w:tblLook w:val="04A0" w:firstRow="1" w:lastRow="0" w:firstColumn="1" w:lastColumn="0" w:noHBand="0" w:noVBand="1"/>
      </w:tblPr>
      <w:tblGrid>
        <w:gridCol w:w="1855"/>
        <w:gridCol w:w="1830"/>
        <w:gridCol w:w="1877"/>
        <w:gridCol w:w="1854"/>
      </w:tblGrid>
      <w:tr w:rsidR="00590532" w14:paraId="046E9F63" w14:textId="77777777" w:rsidTr="00753E79">
        <w:trPr>
          <w:jc w:val="center"/>
        </w:trPr>
        <w:tc>
          <w:tcPr>
            <w:tcW w:w="1855" w:type="dxa"/>
          </w:tcPr>
          <w:p w14:paraId="7ECA93E7" w14:textId="77777777" w:rsidR="00590532" w:rsidRPr="00753E79" w:rsidRDefault="00590532" w:rsidP="009348BE">
            <w:pPr>
              <w:pStyle w:val="ListParagraph"/>
              <w:spacing w:line="276" w:lineRule="auto"/>
              <w:ind w:left="0" w:right="-432"/>
              <w:rPr>
                <w:b/>
              </w:rPr>
            </w:pPr>
            <w:r w:rsidRPr="00753E79">
              <w:rPr>
                <w:b/>
              </w:rPr>
              <w:t>Place</w:t>
            </w:r>
          </w:p>
        </w:tc>
        <w:tc>
          <w:tcPr>
            <w:tcW w:w="1830" w:type="dxa"/>
          </w:tcPr>
          <w:p w14:paraId="3C990A71" w14:textId="77777777" w:rsidR="00590532" w:rsidRPr="00753E79" w:rsidRDefault="00590532" w:rsidP="009348BE">
            <w:pPr>
              <w:pStyle w:val="ListParagraph"/>
              <w:spacing w:line="276" w:lineRule="auto"/>
              <w:ind w:left="0" w:right="-432"/>
              <w:rPr>
                <w:b/>
              </w:rPr>
            </w:pPr>
            <w:r w:rsidRPr="00753E79">
              <w:rPr>
                <w:b/>
              </w:rPr>
              <w:t>SFM</w:t>
            </w:r>
          </w:p>
        </w:tc>
        <w:tc>
          <w:tcPr>
            <w:tcW w:w="1877" w:type="dxa"/>
          </w:tcPr>
          <w:p w14:paraId="56325EE6" w14:textId="77777777" w:rsidR="00590532" w:rsidRPr="00753E79" w:rsidRDefault="00590532" w:rsidP="009348BE">
            <w:pPr>
              <w:pStyle w:val="ListParagraph"/>
              <w:spacing w:line="276" w:lineRule="auto"/>
              <w:ind w:left="0" w:right="-432"/>
              <w:rPr>
                <w:b/>
              </w:rPr>
            </w:pPr>
            <w:r w:rsidRPr="00753E79">
              <w:rPr>
                <w:b/>
              </w:rPr>
              <w:t>Base Points</w:t>
            </w:r>
          </w:p>
        </w:tc>
        <w:tc>
          <w:tcPr>
            <w:tcW w:w="1854" w:type="dxa"/>
          </w:tcPr>
          <w:p w14:paraId="656F9331" w14:textId="77777777" w:rsidR="00590532" w:rsidRPr="00753E79" w:rsidRDefault="00590532" w:rsidP="009348BE">
            <w:pPr>
              <w:pStyle w:val="ListParagraph"/>
              <w:spacing w:line="276" w:lineRule="auto"/>
              <w:ind w:left="0" w:right="-432"/>
              <w:rPr>
                <w:b/>
              </w:rPr>
            </w:pPr>
            <w:r w:rsidRPr="00753E79">
              <w:rPr>
                <w:b/>
              </w:rPr>
              <w:t>Total</w:t>
            </w:r>
          </w:p>
        </w:tc>
      </w:tr>
      <w:tr w:rsidR="00753E79" w14:paraId="07433A7E" w14:textId="77777777" w:rsidTr="00753E79">
        <w:trPr>
          <w:jc w:val="center"/>
        </w:trPr>
        <w:tc>
          <w:tcPr>
            <w:tcW w:w="1855" w:type="dxa"/>
          </w:tcPr>
          <w:p w14:paraId="22E5519D" w14:textId="77777777" w:rsidR="00753E79" w:rsidRDefault="00753E79" w:rsidP="009348BE">
            <w:pPr>
              <w:pStyle w:val="ListParagraph"/>
              <w:spacing w:line="276" w:lineRule="auto"/>
              <w:ind w:left="0" w:right="-432"/>
            </w:pPr>
            <w:r>
              <w:t>1</w:t>
            </w:r>
            <w:r w:rsidRPr="009A2D44">
              <w:rPr>
                <w:vertAlign w:val="superscript"/>
              </w:rPr>
              <w:t>st</w:t>
            </w:r>
            <w:r>
              <w:t xml:space="preserve"> </w:t>
            </w:r>
          </w:p>
        </w:tc>
        <w:tc>
          <w:tcPr>
            <w:tcW w:w="1830" w:type="dxa"/>
          </w:tcPr>
          <w:p w14:paraId="5278B3CC" w14:textId="77777777" w:rsidR="00753E79" w:rsidRDefault="00753E79" w:rsidP="009348BE">
            <w:pPr>
              <w:pStyle w:val="ListParagraph"/>
              <w:spacing w:line="276" w:lineRule="auto"/>
              <w:ind w:left="0" w:right="-432"/>
            </w:pPr>
            <w:r>
              <w:t>5.64</w:t>
            </w:r>
          </w:p>
        </w:tc>
        <w:tc>
          <w:tcPr>
            <w:tcW w:w="1877" w:type="dxa"/>
          </w:tcPr>
          <w:p w14:paraId="7B96890D" w14:textId="5386E187" w:rsidR="00753E79" w:rsidRDefault="00753E79" w:rsidP="009348BE">
            <w:pPr>
              <w:pStyle w:val="ListParagraph"/>
              <w:spacing w:line="276" w:lineRule="auto"/>
              <w:ind w:left="0" w:right="-432"/>
            </w:pPr>
            <w:r>
              <w:t>7.00</w:t>
            </w:r>
          </w:p>
        </w:tc>
        <w:tc>
          <w:tcPr>
            <w:tcW w:w="1854" w:type="dxa"/>
          </w:tcPr>
          <w:p w14:paraId="59149FCC" w14:textId="77777777" w:rsidR="00753E79" w:rsidRDefault="00753E79" w:rsidP="009348BE">
            <w:pPr>
              <w:pStyle w:val="ListParagraph"/>
              <w:spacing w:line="276" w:lineRule="auto"/>
              <w:ind w:left="0" w:right="-432"/>
            </w:pPr>
            <w:r>
              <w:t>39.48</w:t>
            </w:r>
          </w:p>
        </w:tc>
      </w:tr>
      <w:tr w:rsidR="00753E79" w14:paraId="16B71F90" w14:textId="77777777" w:rsidTr="00753E79">
        <w:trPr>
          <w:jc w:val="center"/>
        </w:trPr>
        <w:tc>
          <w:tcPr>
            <w:tcW w:w="1855" w:type="dxa"/>
          </w:tcPr>
          <w:p w14:paraId="39279E09" w14:textId="77777777" w:rsidR="00753E79" w:rsidRDefault="00753E79" w:rsidP="009348BE">
            <w:pPr>
              <w:pStyle w:val="ListParagraph"/>
              <w:spacing w:line="276" w:lineRule="auto"/>
              <w:ind w:left="0" w:right="-432"/>
            </w:pPr>
            <w:r>
              <w:t>2</w:t>
            </w:r>
            <w:r w:rsidRPr="009A2D44">
              <w:rPr>
                <w:vertAlign w:val="superscript"/>
              </w:rPr>
              <w:t>nd</w:t>
            </w:r>
            <w:r>
              <w:t xml:space="preserve"> </w:t>
            </w:r>
          </w:p>
        </w:tc>
        <w:tc>
          <w:tcPr>
            <w:tcW w:w="1830" w:type="dxa"/>
          </w:tcPr>
          <w:p w14:paraId="3FE683D4" w14:textId="77777777" w:rsidR="00753E79" w:rsidRDefault="00753E79" w:rsidP="009348BE">
            <w:pPr>
              <w:pStyle w:val="ListParagraph"/>
              <w:spacing w:line="276" w:lineRule="auto"/>
              <w:ind w:left="0" w:right="-432"/>
            </w:pPr>
            <w:r>
              <w:t>5.64</w:t>
            </w:r>
          </w:p>
        </w:tc>
        <w:tc>
          <w:tcPr>
            <w:tcW w:w="1877" w:type="dxa"/>
          </w:tcPr>
          <w:p w14:paraId="095C3D93" w14:textId="6B16EFC4" w:rsidR="00753E79" w:rsidRDefault="00753E79" w:rsidP="009348BE">
            <w:pPr>
              <w:pStyle w:val="ListParagraph"/>
              <w:spacing w:line="276" w:lineRule="auto"/>
              <w:ind w:left="0" w:right="-432"/>
            </w:pPr>
            <w:r>
              <w:t>5.50</w:t>
            </w:r>
          </w:p>
        </w:tc>
        <w:tc>
          <w:tcPr>
            <w:tcW w:w="1854" w:type="dxa"/>
          </w:tcPr>
          <w:p w14:paraId="32B2F6E9" w14:textId="6E09F017" w:rsidR="00753E79" w:rsidRDefault="00753E79" w:rsidP="009348BE">
            <w:pPr>
              <w:pStyle w:val="ListParagraph"/>
              <w:spacing w:line="276" w:lineRule="auto"/>
              <w:ind w:left="0" w:right="-432"/>
            </w:pPr>
            <w:r>
              <w:t>31.02</w:t>
            </w:r>
          </w:p>
        </w:tc>
      </w:tr>
      <w:tr w:rsidR="00753E79" w14:paraId="46EDC073" w14:textId="77777777" w:rsidTr="00753E79">
        <w:trPr>
          <w:jc w:val="center"/>
        </w:trPr>
        <w:tc>
          <w:tcPr>
            <w:tcW w:w="1855" w:type="dxa"/>
          </w:tcPr>
          <w:p w14:paraId="0A42A5C4" w14:textId="77777777" w:rsidR="00753E79" w:rsidRDefault="00753E79" w:rsidP="009348BE">
            <w:pPr>
              <w:pStyle w:val="ListParagraph"/>
              <w:spacing w:line="276" w:lineRule="auto"/>
              <w:ind w:left="0" w:right="-432"/>
            </w:pPr>
            <w:r>
              <w:t>3-4</w:t>
            </w:r>
            <w:r w:rsidRPr="009A2D44">
              <w:rPr>
                <w:vertAlign w:val="superscript"/>
              </w:rPr>
              <w:t>th</w:t>
            </w:r>
            <w:r>
              <w:t xml:space="preserve"> </w:t>
            </w:r>
          </w:p>
        </w:tc>
        <w:tc>
          <w:tcPr>
            <w:tcW w:w="1830" w:type="dxa"/>
          </w:tcPr>
          <w:p w14:paraId="39DE0A7F" w14:textId="77777777" w:rsidR="00753E79" w:rsidRDefault="00753E79" w:rsidP="009348BE">
            <w:pPr>
              <w:pStyle w:val="ListParagraph"/>
              <w:spacing w:line="276" w:lineRule="auto"/>
              <w:ind w:left="0" w:right="-432"/>
            </w:pPr>
            <w:r>
              <w:t>5.64</w:t>
            </w:r>
          </w:p>
        </w:tc>
        <w:tc>
          <w:tcPr>
            <w:tcW w:w="1877" w:type="dxa"/>
          </w:tcPr>
          <w:p w14:paraId="1645901E" w14:textId="15D0AB65" w:rsidR="00753E79" w:rsidRDefault="00753E79" w:rsidP="009348BE">
            <w:pPr>
              <w:pStyle w:val="ListParagraph"/>
              <w:spacing w:line="276" w:lineRule="auto"/>
              <w:ind w:left="0" w:right="-432"/>
            </w:pPr>
            <w:r>
              <w:t>4.25</w:t>
            </w:r>
          </w:p>
        </w:tc>
        <w:tc>
          <w:tcPr>
            <w:tcW w:w="1854" w:type="dxa"/>
          </w:tcPr>
          <w:p w14:paraId="05B68A8C" w14:textId="6ABC8BE7" w:rsidR="00753E79" w:rsidRDefault="00753E79" w:rsidP="009348BE">
            <w:pPr>
              <w:pStyle w:val="ListParagraph"/>
              <w:spacing w:line="276" w:lineRule="auto"/>
              <w:ind w:left="0" w:right="-432"/>
            </w:pPr>
            <w:r>
              <w:t>23.97</w:t>
            </w:r>
          </w:p>
        </w:tc>
      </w:tr>
      <w:tr w:rsidR="00753E79" w14:paraId="28499475" w14:textId="77777777" w:rsidTr="00753E79">
        <w:trPr>
          <w:jc w:val="center"/>
        </w:trPr>
        <w:tc>
          <w:tcPr>
            <w:tcW w:w="1855" w:type="dxa"/>
          </w:tcPr>
          <w:p w14:paraId="29FCE055" w14:textId="77777777" w:rsidR="00753E79" w:rsidRDefault="00753E79" w:rsidP="009348BE">
            <w:pPr>
              <w:pStyle w:val="ListParagraph"/>
              <w:spacing w:line="276" w:lineRule="auto"/>
              <w:ind w:left="0" w:right="-432"/>
            </w:pPr>
            <w:r>
              <w:t>5-8</w:t>
            </w:r>
            <w:r w:rsidRPr="009A2D44">
              <w:rPr>
                <w:vertAlign w:val="superscript"/>
              </w:rPr>
              <w:t>th</w:t>
            </w:r>
            <w:r>
              <w:t xml:space="preserve"> </w:t>
            </w:r>
          </w:p>
        </w:tc>
        <w:tc>
          <w:tcPr>
            <w:tcW w:w="1830" w:type="dxa"/>
          </w:tcPr>
          <w:p w14:paraId="6536ED93" w14:textId="77777777" w:rsidR="00753E79" w:rsidRDefault="00753E79" w:rsidP="009348BE">
            <w:pPr>
              <w:pStyle w:val="ListParagraph"/>
              <w:spacing w:line="276" w:lineRule="auto"/>
              <w:ind w:left="0" w:right="-432"/>
            </w:pPr>
            <w:r>
              <w:t>5.64</w:t>
            </w:r>
          </w:p>
        </w:tc>
        <w:tc>
          <w:tcPr>
            <w:tcW w:w="1877" w:type="dxa"/>
          </w:tcPr>
          <w:p w14:paraId="0745124C" w14:textId="5DCC38F8" w:rsidR="00753E79" w:rsidRDefault="00753E79" w:rsidP="009348BE">
            <w:pPr>
              <w:pStyle w:val="ListParagraph"/>
              <w:spacing w:line="276" w:lineRule="auto"/>
              <w:ind w:left="0" w:right="-432"/>
            </w:pPr>
            <w:r>
              <w:t>3.00</w:t>
            </w:r>
          </w:p>
        </w:tc>
        <w:tc>
          <w:tcPr>
            <w:tcW w:w="1854" w:type="dxa"/>
          </w:tcPr>
          <w:p w14:paraId="7FDBA4AE" w14:textId="77777777" w:rsidR="00753E79" w:rsidRDefault="00753E79" w:rsidP="009348BE">
            <w:pPr>
              <w:pStyle w:val="ListParagraph"/>
              <w:spacing w:line="276" w:lineRule="auto"/>
              <w:ind w:left="0" w:right="-432"/>
            </w:pPr>
            <w:r>
              <w:t>16.92</w:t>
            </w:r>
          </w:p>
        </w:tc>
      </w:tr>
    </w:tbl>
    <w:p w14:paraId="29D1200D" w14:textId="3F9A210B" w:rsidR="00590532" w:rsidRDefault="00590532" w:rsidP="009348BE">
      <w:pPr>
        <w:spacing w:line="276" w:lineRule="auto"/>
        <w:ind w:right="-432"/>
        <w:jc w:val="center"/>
      </w:pPr>
      <w:r>
        <w:t>* Thi</w:t>
      </w:r>
      <w:r w:rsidR="002A27EE">
        <w:t>s event yields a total of 186.12</w:t>
      </w:r>
      <w:r>
        <w:t xml:space="preserve"> points.</w:t>
      </w:r>
    </w:p>
    <w:p w14:paraId="22EC8308" w14:textId="77777777" w:rsidR="00590532" w:rsidRDefault="00590532" w:rsidP="009348BE">
      <w:pPr>
        <w:ind w:right="-432"/>
      </w:pPr>
    </w:p>
    <w:p w14:paraId="38BBBADF" w14:textId="67A5DBCB" w:rsidR="00590532" w:rsidRDefault="00590532" w:rsidP="009348BE">
      <w:pPr>
        <w:pStyle w:val="ListParagraph"/>
        <w:spacing w:line="276" w:lineRule="auto"/>
        <w:ind w:left="0" w:right="-432"/>
      </w:pPr>
      <w:r>
        <w:t>Example 5: Red Deer - 32-team event, $41 000 purse, the total SFM currently used: 2.65 - (2.65/32)*24 = 1.988*(1.5 # multiplier)*(1.13 purse multiplier) = 3.40</w:t>
      </w:r>
    </w:p>
    <w:p w14:paraId="14FCCFBC" w14:textId="77777777" w:rsidR="00590532" w:rsidRDefault="00590532" w:rsidP="009348BE">
      <w:pPr>
        <w:pStyle w:val="ListParagraph"/>
        <w:spacing w:line="276" w:lineRule="auto"/>
        <w:ind w:left="0" w:right="-432"/>
      </w:pPr>
    </w:p>
    <w:tbl>
      <w:tblPr>
        <w:tblStyle w:val="TableGrid"/>
        <w:tblW w:w="0" w:type="auto"/>
        <w:jc w:val="center"/>
        <w:tblInd w:w="1440" w:type="dxa"/>
        <w:tblLook w:val="04A0" w:firstRow="1" w:lastRow="0" w:firstColumn="1" w:lastColumn="0" w:noHBand="0" w:noVBand="1"/>
      </w:tblPr>
      <w:tblGrid>
        <w:gridCol w:w="1852"/>
        <w:gridCol w:w="1833"/>
        <w:gridCol w:w="1872"/>
        <w:gridCol w:w="1859"/>
      </w:tblGrid>
      <w:tr w:rsidR="00590532" w14:paraId="7D7020B6" w14:textId="77777777" w:rsidTr="00753E79">
        <w:trPr>
          <w:jc w:val="center"/>
        </w:trPr>
        <w:tc>
          <w:tcPr>
            <w:tcW w:w="1852" w:type="dxa"/>
          </w:tcPr>
          <w:p w14:paraId="41BA2727" w14:textId="77777777" w:rsidR="00590532" w:rsidRPr="00753E79" w:rsidRDefault="00590532" w:rsidP="009348BE">
            <w:pPr>
              <w:pStyle w:val="ListParagraph"/>
              <w:spacing w:line="276" w:lineRule="auto"/>
              <w:ind w:left="0" w:right="-432"/>
              <w:rPr>
                <w:b/>
              </w:rPr>
            </w:pPr>
            <w:r w:rsidRPr="00753E79">
              <w:rPr>
                <w:b/>
              </w:rPr>
              <w:t>Place</w:t>
            </w:r>
          </w:p>
        </w:tc>
        <w:tc>
          <w:tcPr>
            <w:tcW w:w="1833" w:type="dxa"/>
          </w:tcPr>
          <w:p w14:paraId="1D7CE46D" w14:textId="77777777" w:rsidR="00590532" w:rsidRPr="00753E79" w:rsidRDefault="00590532" w:rsidP="009348BE">
            <w:pPr>
              <w:pStyle w:val="ListParagraph"/>
              <w:spacing w:line="276" w:lineRule="auto"/>
              <w:ind w:left="0" w:right="-432"/>
              <w:rPr>
                <w:b/>
              </w:rPr>
            </w:pPr>
            <w:r w:rsidRPr="00753E79">
              <w:rPr>
                <w:b/>
              </w:rPr>
              <w:t>SFM</w:t>
            </w:r>
          </w:p>
        </w:tc>
        <w:tc>
          <w:tcPr>
            <w:tcW w:w="1872" w:type="dxa"/>
          </w:tcPr>
          <w:p w14:paraId="5B53FA98" w14:textId="77777777" w:rsidR="00590532" w:rsidRPr="00753E79" w:rsidRDefault="00590532" w:rsidP="009348BE">
            <w:pPr>
              <w:pStyle w:val="ListParagraph"/>
              <w:spacing w:line="276" w:lineRule="auto"/>
              <w:ind w:left="0" w:right="-432"/>
              <w:rPr>
                <w:b/>
              </w:rPr>
            </w:pPr>
            <w:r w:rsidRPr="00753E79">
              <w:rPr>
                <w:b/>
              </w:rPr>
              <w:t>Base Points</w:t>
            </w:r>
          </w:p>
        </w:tc>
        <w:tc>
          <w:tcPr>
            <w:tcW w:w="1859" w:type="dxa"/>
          </w:tcPr>
          <w:p w14:paraId="3FC1809F" w14:textId="77777777" w:rsidR="00590532" w:rsidRPr="00753E79" w:rsidRDefault="00590532" w:rsidP="009348BE">
            <w:pPr>
              <w:pStyle w:val="ListParagraph"/>
              <w:spacing w:line="276" w:lineRule="auto"/>
              <w:ind w:left="0" w:right="-432"/>
              <w:rPr>
                <w:b/>
              </w:rPr>
            </w:pPr>
            <w:r w:rsidRPr="00753E79">
              <w:rPr>
                <w:b/>
              </w:rPr>
              <w:t>Total</w:t>
            </w:r>
          </w:p>
        </w:tc>
      </w:tr>
      <w:tr w:rsidR="00753E79" w14:paraId="5A42F112" w14:textId="77777777" w:rsidTr="00753E79">
        <w:trPr>
          <w:jc w:val="center"/>
        </w:trPr>
        <w:tc>
          <w:tcPr>
            <w:tcW w:w="1852" w:type="dxa"/>
          </w:tcPr>
          <w:p w14:paraId="51A3D4DC" w14:textId="77777777" w:rsidR="00753E79" w:rsidRDefault="00753E79" w:rsidP="009348BE">
            <w:pPr>
              <w:pStyle w:val="ListParagraph"/>
              <w:spacing w:line="276" w:lineRule="auto"/>
              <w:ind w:left="0" w:right="-432"/>
            </w:pPr>
            <w:r>
              <w:t>1</w:t>
            </w:r>
            <w:r w:rsidRPr="009A2D44">
              <w:rPr>
                <w:vertAlign w:val="superscript"/>
              </w:rPr>
              <w:t>st</w:t>
            </w:r>
            <w:r>
              <w:t xml:space="preserve"> </w:t>
            </w:r>
          </w:p>
        </w:tc>
        <w:tc>
          <w:tcPr>
            <w:tcW w:w="1833" w:type="dxa"/>
          </w:tcPr>
          <w:p w14:paraId="1529E7BF" w14:textId="77777777" w:rsidR="00753E79" w:rsidRDefault="00753E79" w:rsidP="009348BE">
            <w:pPr>
              <w:pStyle w:val="ListParagraph"/>
              <w:spacing w:line="276" w:lineRule="auto"/>
              <w:ind w:left="0" w:right="-432"/>
            </w:pPr>
            <w:r>
              <w:t>3.40</w:t>
            </w:r>
          </w:p>
        </w:tc>
        <w:tc>
          <w:tcPr>
            <w:tcW w:w="1872" w:type="dxa"/>
          </w:tcPr>
          <w:p w14:paraId="03AC4C7A" w14:textId="5DB00D4C" w:rsidR="00753E79" w:rsidRDefault="00753E79" w:rsidP="009348BE">
            <w:pPr>
              <w:pStyle w:val="ListParagraph"/>
              <w:spacing w:line="276" w:lineRule="auto"/>
              <w:ind w:left="0" w:right="-432"/>
            </w:pPr>
            <w:r>
              <w:t>7.00</w:t>
            </w:r>
          </w:p>
        </w:tc>
        <w:tc>
          <w:tcPr>
            <w:tcW w:w="1859" w:type="dxa"/>
          </w:tcPr>
          <w:p w14:paraId="03FE9FBE" w14:textId="77777777" w:rsidR="00753E79" w:rsidRDefault="00753E79" w:rsidP="009348BE">
            <w:pPr>
              <w:pStyle w:val="ListParagraph"/>
              <w:spacing w:line="276" w:lineRule="auto"/>
              <w:ind w:left="0" w:right="-432"/>
            </w:pPr>
            <w:r>
              <w:t>23.80</w:t>
            </w:r>
          </w:p>
        </w:tc>
      </w:tr>
      <w:tr w:rsidR="00753E79" w14:paraId="4E992B8A" w14:textId="77777777" w:rsidTr="00753E79">
        <w:trPr>
          <w:jc w:val="center"/>
        </w:trPr>
        <w:tc>
          <w:tcPr>
            <w:tcW w:w="1852" w:type="dxa"/>
          </w:tcPr>
          <w:p w14:paraId="55273074" w14:textId="77777777" w:rsidR="00753E79" w:rsidRDefault="00753E79" w:rsidP="009348BE">
            <w:pPr>
              <w:pStyle w:val="ListParagraph"/>
              <w:spacing w:line="276" w:lineRule="auto"/>
              <w:ind w:left="0" w:right="-432"/>
            </w:pPr>
            <w:r>
              <w:t>2</w:t>
            </w:r>
            <w:r w:rsidRPr="009A2D44">
              <w:rPr>
                <w:vertAlign w:val="superscript"/>
              </w:rPr>
              <w:t>nd</w:t>
            </w:r>
            <w:r>
              <w:t xml:space="preserve"> </w:t>
            </w:r>
          </w:p>
        </w:tc>
        <w:tc>
          <w:tcPr>
            <w:tcW w:w="1833" w:type="dxa"/>
          </w:tcPr>
          <w:p w14:paraId="5B7AC814" w14:textId="77777777" w:rsidR="00753E79" w:rsidRDefault="00753E79" w:rsidP="009348BE">
            <w:pPr>
              <w:pStyle w:val="ListParagraph"/>
              <w:spacing w:line="276" w:lineRule="auto"/>
              <w:ind w:left="0" w:right="-432"/>
            </w:pPr>
            <w:r>
              <w:t>3.40</w:t>
            </w:r>
          </w:p>
        </w:tc>
        <w:tc>
          <w:tcPr>
            <w:tcW w:w="1872" w:type="dxa"/>
          </w:tcPr>
          <w:p w14:paraId="105A7D5D" w14:textId="48ADB85D" w:rsidR="00753E79" w:rsidRDefault="00753E79" w:rsidP="009348BE">
            <w:pPr>
              <w:pStyle w:val="ListParagraph"/>
              <w:spacing w:line="276" w:lineRule="auto"/>
              <w:ind w:left="0" w:right="-432"/>
            </w:pPr>
            <w:r>
              <w:t>5.50</w:t>
            </w:r>
          </w:p>
        </w:tc>
        <w:tc>
          <w:tcPr>
            <w:tcW w:w="1859" w:type="dxa"/>
          </w:tcPr>
          <w:p w14:paraId="7A8800F2" w14:textId="39ACC89A" w:rsidR="00753E79" w:rsidRDefault="00753E79" w:rsidP="009348BE">
            <w:pPr>
              <w:pStyle w:val="ListParagraph"/>
              <w:spacing w:line="276" w:lineRule="auto"/>
              <w:ind w:left="0" w:right="-432"/>
            </w:pPr>
            <w:r>
              <w:t>18.70</w:t>
            </w:r>
          </w:p>
        </w:tc>
      </w:tr>
      <w:tr w:rsidR="00753E79" w14:paraId="5D452AD5" w14:textId="77777777" w:rsidTr="00753E79">
        <w:trPr>
          <w:jc w:val="center"/>
        </w:trPr>
        <w:tc>
          <w:tcPr>
            <w:tcW w:w="1852" w:type="dxa"/>
          </w:tcPr>
          <w:p w14:paraId="65282F10" w14:textId="77777777" w:rsidR="00753E79" w:rsidRDefault="00753E79" w:rsidP="009348BE">
            <w:pPr>
              <w:pStyle w:val="ListParagraph"/>
              <w:spacing w:line="276" w:lineRule="auto"/>
              <w:ind w:left="0" w:right="-432"/>
            </w:pPr>
            <w:r>
              <w:t>3-4</w:t>
            </w:r>
            <w:r w:rsidRPr="009A2D44">
              <w:rPr>
                <w:vertAlign w:val="superscript"/>
              </w:rPr>
              <w:t>th</w:t>
            </w:r>
            <w:r>
              <w:t xml:space="preserve"> </w:t>
            </w:r>
          </w:p>
        </w:tc>
        <w:tc>
          <w:tcPr>
            <w:tcW w:w="1833" w:type="dxa"/>
          </w:tcPr>
          <w:p w14:paraId="51A26229" w14:textId="77777777" w:rsidR="00753E79" w:rsidRDefault="00753E79" w:rsidP="009348BE">
            <w:pPr>
              <w:pStyle w:val="ListParagraph"/>
              <w:spacing w:line="276" w:lineRule="auto"/>
              <w:ind w:left="0" w:right="-432"/>
            </w:pPr>
            <w:r>
              <w:t>3.40</w:t>
            </w:r>
          </w:p>
        </w:tc>
        <w:tc>
          <w:tcPr>
            <w:tcW w:w="1872" w:type="dxa"/>
          </w:tcPr>
          <w:p w14:paraId="5D9CA791" w14:textId="09185019" w:rsidR="00753E79" w:rsidRDefault="00753E79" w:rsidP="009348BE">
            <w:pPr>
              <w:pStyle w:val="ListParagraph"/>
              <w:spacing w:line="276" w:lineRule="auto"/>
              <w:ind w:left="0" w:right="-432"/>
            </w:pPr>
            <w:r>
              <w:t>4.25</w:t>
            </w:r>
          </w:p>
        </w:tc>
        <w:tc>
          <w:tcPr>
            <w:tcW w:w="1859" w:type="dxa"/>
          </w:tcPr>
          <w:p w14:paraId="5DD55C5C" w14:textId="75F05279" w:rsidR="00753E79" w:rsidRDefault="00753E79" w:rsidP="009348BE">
            <w:pPr>
              <w:pStyle w:val="ListParagraph"/>
              <w:spacing w:line="276" w:lineRule="auto"/>
              <w:ind w:left="0" w:right="-432"/>
            </w:pPr>
            <w:r>
              <w:t>14.45</w:t>
            </w:r>
          </w:p>
        </w:tc>
      </w:tr>
      <w:tr w:rsidR="00753E79" w14:paraId="630A779A" w14:textId="77777777" w:rsidTr="00753E79">
        <w:trPr>
          <w:jc w:val="center"/>
        </w:trPr>
        <w:tc>
          <w:tcPr>
            <w:tcW w:w="1852" w:type="dxa"/>
          </w:tcPr>
          <w:p w14:paraId="41891F6C" w14:textId="77777777" w:rsidR="00753E79" w:rsidRDefault="00753E79" w:rsidP="009348BE">
            <w:pPr>
              <w:pStyle w:val="ListParagraph"/>
              <w:spacing w:line="276" w:lineRule="auto"/>
              <w:ind w:left="0" w:right="-432"/>
            </w:pPr>
            <w:r>
              <w:t>5-8</w:t>
            </w:r>
            <w:r w:rsidRPr="009A2D44">
              <w:rPr>
                <w:vertAlign w:val="superscript"/>
              </w:rPr>
              <w:t>th</w:t>
            </w:r>
            <w:r>
              <w:t xml:space="preserve"> </w:t>
            </w:r>
          </w:p>
        </w:tc>
        <w:tc>
          <w:tcPr>
            <w:tcW w:w="1833" w:type="dxa"/>
          </w:tcPr>
          <w:p w14:paraId="4487373E" w14:textId="77777777" w:rsidR="00753E79" w:rsidRDefault="00753E79" w:rsidP="009348BE">
            <w:pPr>
              <w:pStyle w:val="ListParagraph"/>
              <w:spacing w:line="276" w:lineRule="auto"/>
              <w:ind w:left="0" w:right="-432"/>
            </w:pPr>
            <w:r>
              <w:t>3.40</w:t>
            </w:r>
          </w:p>
        </w:tc>
        <w:tc>
          <w:tcPr>
            <w:tcW w:w="1872" w:type="dxa"/>
          </w:tcPr>
          <w:p w14:paraId="125F2A88" w14:textId="2AE33A75" w:rsidR="00753E79" w:rsidRDefault="00753E79" w:rsidP="009348BE">
            <w:pPr>
              <w:pStyle w:val="ListParagraph"/>
              <w:spacing w:line="276" w:lineRule="auto"/>
              <w:ind w:left="0" w:right="-432"/>
            </w:pPr>
            <w:r>
              <w:t>3.00</w:t>
            </w:r>
          </w:p>
        </w:tc>
        <w:tc>
          <w:tcPr>
            <w:tcW w:w="1859" w:type="dxa"/>
          </w:tcPr>
          <w:p w14:paraId="67EF512F" w14:textId="77777777" w:rsidR="00753E79" w:rsidRDefault="00753E79" w:rsidP="009348BE">
            <w:pPr>
              <w:pStyle w:val="ListParagraph"/>
              <w:spacing w:line="276" w:lineRule="auto"/>
              <w:ind w:left="0" w:right="-432"/>
            </w:pPr>
            <w:r>
              <w:t>10.2</w:t>
            </w:r>
          </w:p>
        </w:tc>
      </w:tr>
    </w:tbl>
    <w:p w14:paraId="239B2EA1" w14:textId="4877D4EA" w:rsidR="00590532" w:rsidRDefault="00590532" w:rsidP="009348BE">
      <w:pPr>
        <w:pStyle w:val="ListParagraph"/>
        <w:spacing w:line="276" w:lineRule="auto"/>
        <w:ind w:left="0" w:right="-432"/>
        <w:jc w:val="center"/>
      </w:pPr>
      <w:r>
        <w:t>* Thi</w:t>
      </w:r>
      <w:r w:rsidR="002A27EE">
        <w:t>s event yields a total of 112.20</w:t>
      </w:r>
      <w:r>
        <w:t xml:space="preserve"> points</w:t>
      </w:r>
    </w:p>
    <w:p w14:paraId="1358AE9B" w14:textId="77777777" w:rsidR="00590532" w:rsidRDefault="00590532" w:rsidP="009348BE">
      <w:pPr>
        <w:pStyle w:val="ListParagraph"/>
        <w:spacing w:line="276" w:lineRule="auto"/>
        <w:ind w:left="0" w:right="-432"/>
        <w:jc w:val="center"/>
      </w:pPr>
    </w:p>
    <w:p w14:paraId="4C2F3B29" w14:textId="60EDEEBC" w:rsidR="00590532" w:rsidRDefault="00590532" w:rsidP="009348BE">
      <w:pPr>
        <w:pStyle w:val="ListParagraph"/>
        <w:spacing w:line="276" w:lineRule="auto"/>
        <w:ind w:left="0" w:right="-432"/>
      </w:pPr>
      <w:r>
        <w:t>Example 6: Portage - 31-team, $60 000 purse, the total SFM currently used: 5.82 - (5.82/31)*24 = 4.506*(1.47 # multiplier)*(1.23 purse multiplier) = 8.15</w:t>
      </w:r>
    </w:p>
    <w:p w14:paraId="4AFD7F57" w14:textId="77777777" w:rsidR="00590532" w:rsidRDefault="00590532" w:rsidP="009348BE">
      <w:pPr>
        <w:pStyle w:val="ListParagraph"/>
        <w:spacing w:line="276" w:lineRule="auto"/>
        <w:ind w:left="0" w:right="-432"/>
      </w:pPr>
    </w:p>
    <w:tbl>
      <w:tblPr>
        <w:tblStyle w:val="TableGrid"/>
        <w:tblW w:w="0" w:type="auto"/>
        <w:jc w:val="center"/>
        <w:tblInd w:w="1440" w:type="dxa"/>
        <w:tblLook w:val="04A0" w:firstRow="1" w:lastRow="0" w:firstColumn="1" w:lastColumn="0" w:noHBand="0" w:noVBand="1"/>
      </w:tblPr>
      <w:tblGrid>
        <w:gridCol w:w="1855"/>
        <w:gridCol w:w="1830"/>
        <w:gridCol w:w="1877"/>
        <w:gridCol w:w="1854"/>
      </w:tblGrid>
      <w:tr w:rsidR="00590532" w14:paraId="2E380711" w14:textId="77777777" w:rsidTr="00753E79">
        <w:trPr>
          <w:jc w:val="center"/>
        </w:trPr>
        <w:tc>
          <w:tcPr>
            <w:tcW w:w="1855" w:type="dxa"/>
          </w:tcPr>
          <w:p w14:paraId="7A0B1893" w14:textId="77777777" w:rsidR="00590532" w:rsidRPr="00753E79" w:rsidRDefault="00590532" w:rsidP="009348BE">
            <w:pPr>
              <w:pStyle w:val="ListParagraph"/>
              <w:spacing w:line="276" w:lineRule="auto"/>
              <w:ind w:left="0" w:right="-432"/>
              <w:rPr>
                <w:b/>
              </w:rPr>
            </w:pPr>
            <w:r w:rsidRPr="00753E79">
              <w:rPr>
                <w:b/>
              </w:rPr>
              <w:t>Place</w:t>
            </w:r>
          </w:p>
        </w:tc>
        <w:tc>
          <w:tcPr>
            <w:tcW w:w="1830" w:type="dxa"/>
          </w:tcPr>
          <w:p w14:paraId="16BAB5CB" w14:textId="77777777" w:rsidR="00590532" w:rsidRPr="00753E79" w:rsidRDefault="00590532" w:rsidP="009348BE">
            <w:pPr>
              <w:pStyle w:val="ListParagraph"/>
              <w:spacing w:line="276" w:lineRule="auto"/>
              <w:ind w:left="0" w:right="-432"/>
              <w:rPr>
                <w:b/>
              </w:rPr>
            </w:pPr>
            <w:r w:rsidRPr="00753E79">
              <w:rPr>
                <w:b/>
              </w:rPr>
              <w:t>SFM</w:t>
            </w:r>
          </w:p>
        </w:tc>
        <w:tc>
          <w:tcPr>
            <w:tcW w:w="1877" w:type="dxa"/>
          </w:tcPr>
          <w:p w14:paraId="13DCDFED" w14:textId="77777777" w:rsidR="00590532" w:rsidRPr="00753E79" w:rsidRDefault="00590532" w:rsidP="009348BE">
            <w:pPr>
              <w:pStyle w:val="ListParagraph"/>
              <w:spacing w:line="276" w:lineRule="auto"/>
              <w:ind w:left="0" w:right="-432"/>
              <w:rPr>
                <w:b/>
              </w:rPr>
            </w:pPr>
            <w:r w:rsidRPr="00753E79">
              <w:rPr>
                <w:b/>
              </w:rPr>
              <w:t>Base Points</w:t>
            </w:r>
          </w:p>
        </w:tc>
        <w:tc>
          <w:tcPr>
            <w:tcW w:w="1854" w:type="dxa"/>
          </w:tcPr>
          <w:p w14:paraId="1B873CE6" w14:textId="77777777" w:rsidR="00590532" w:rsidRPr="00753E79" w:rsidRDefault="00590532" w:rsidP="009348BE">
            <w:pPr>
              <w:pStyle w:val="ListParagraph"/>
              <w:spacing w:line="276" w:lineRule="auto"/>
              <w:ind w:left="0" w:right="-432"/>
              <w:rPr>
                <w:b/>
              </w:rPr>
            </w:pPr>
            <w:r w:rsidRPr="00753E79">
              <w:rPr>
                <w:b/>
              </w:rPr>
              <w:t>Total</w:t>
            </w:r>
          </w:p>
        </w:tc>
      </w:tr>
      <w:tr w:rsidR="00753E79" w14:paraId="35817564" w14:textId="77777777" w:rsidTr="00753E79">
        <w:trPr>
          <w:jc w:val="center"/>
        </w:trPr>
        <w:tc>
          <w:tcPr>
            <w:tcW w:w="1855" w:type="dxa"/>
          </w:tcPr>
          <w:p w14:paraId="3673E3E7" w14:textId="77777777" w:rsidR="00753E79" w:rsidRDefault="00753E79" w:rsidP="009348BE">
            <w:pPr>
              <w:pStyle w:val="ListParagraph"/>
              <w:spacing w:line="276" w:lineRule="auto"/>
              <w:ind w:left="0" w:right="-432"/>
            </w:pPr>
            <w:r>
              <w:t>1</w:t>
            </w:r>
            <w:r w:rsidRPr="009A2D44">
              <w:rPr>
                <w:vertAlign w:val="superscript"/>
              </w:rPr>
              <w:t>st</w:t>
            </w:r>
            <w:r>
              <w:t xml:space="preserve"> </w:t>
            </w:r>
          </w:p>
        </w:tc>
        <w:tc>
          <w:tcPr>
            <w:tcW w:w="1830" w:type="dxa"/>
          </w:tcPr>
          <w:p w14:paraId="16FAEEC3" w14:textId="77777777" w:rsidR="00753E79" w:rsidRDefault="00753E79" w:rsidP="009348BE">
            <w:pPr>
              <w:pStyle w:val="ListParagraph"/>
              <w:spacing w:line="276" w:lineRule="auto"/>
              <w:ind w:left="0" w:right="-432"/>
            </w:pPr>
            <w:r>
              <w:t>8.15</w:t>
            </w:r>
          </w:p>
        </w:tc>
        <w:tc>
          <w:tcPr>
            <w:tcW w:w="1877" w:type="dxa"/>
          </w:tcPr>
          <w:p w14:paraId="33A65A26" w14:textId="09AFCE9C" w:rsidR="00753E79" w:rsidRDefault="00753E79" w:rsidP="009348BE">
            <w:pPr>
              <w:pStyle w:val="ListParagraph"/>
              <w:spacing w:line="276" w:lineRule="auto"/>
              <w:ind w:left="0" w:right="-432"/>
            </w:pPr>
            <w:r>
              <w:t>7.00</w:t>
            </w:r>
          </w:p>
        </w:tc>
        <w:tc>
          <w:tcPr>
            <w:tcW w:w="1854" w:type="dxa"/>
          </w:tcPr>
          <w:p w14:paraId="0FDD3D33" w14:textId="77777777" w:rsidR="00753E79" w:rsidRDefault="00753E79" w:rsidP="009348BE">
            <w:pPr>
              <w:pStyle w:val="ListParagraph"/>
              <w:spacing w:line="276" w:lineRule="auto"/>
              <w:ind w:left="0" w:right="-432"/>
            </w:pPr>
            <w:r>
              <w:t>57.05</w:t>
            </w:r>
          </w:p>
        </w:tc>
      </w:tr>
      <w:tr w:rsidR="00753E79" w14:paraId="1AC37C61" w14:textId="77777777" w:rsidTr="00753E79">
        <w:trPr>
          <w:jc w:val="center"/>
        </w:trPr>
        <w:tc>
          <w:tcPr>
            <w:tcW w:w="1855" w:type="dxa"/>
          </w:tcPr>
          <w:p w14:paraId="42814915" w14:textId="77777777" w:rsidR="00753E79" w:rsidRDefault="00753E79" w:rsidP="009348BE">
            <w:pPr>
              <w:pStyle w:val="ListParagraph"/>
              <w:spacing w:line="276" w:lineRule="auto"/>
              <w:ind w:left="0" w:right="-432"/>
            </w:pPr>
            <w:r>
              <w:t>2</w:t>
            </w:r>
            <w:r w:rsidRPr="009A2D44">
              <w:rPr>
                <w:vertAlign w:val="superscript"/>
              </w:rPr>
              <w:t>nd</w:t>
            </w:r>
            <w:r>
              <w:t xml:space="preserve"> </w:t>
            </w:r>
          </w:p>
        </w:tc>
        <w:tc>
          <w:tcPr>
            <w:tcW w:w="1830" w:type="dxa"/>
          </w:tcPr>
          <w:p w14:paraId="74DD769A" w14:textId="77777777" w:rsidR="00753E79" w:rsidRDefault="00753E79" w:rsidP="009348BE">
            <w:pPr>
              <w:pStyle w:val="ListParagraph"/>
              <w:spacing w:line="276" w:lineRule="auto"/>
              <w:ind w:left="0" w:right="-432"/>
            </w:pPr>
            <w:r>
              <w:t>8.15</w:t>
            </w:r>
          </w:p>
        </w:tc>
        <w:tc>
          <w:tcPr>
            <w:tcW w:w="1877" w:type="dxa"/>
          </w:tcPr>
          <w:p w14:paraId="6F1BF930" w14:textId="68647B12" w:rsidR="00753E79" w:rsidRDefault="00753E79" w:rsidP="009348BE">
            <w:pPr>
              <w:pStyle w:val="ListParagraph"/>
              <w:spacing w:line="276" w:lineRule="auto"/>
              <w:ind w:left="0" w:right="-432"/>
            </w:pPr>
            <w:r>
              <w:t>5.50</w:t>
            </w:r>
          </w:p>
        </w:tc>
        <w:tc>
          <w:tcPr>
            <w:tcW w:w="1854" w:type="dxa"/>
          </w:tcPr>
          <w:p w14:paraId="1F33A166" w14:textId="35CE99DF" w:rsidR="00753E79" w:rsidRDefault="00753E79" w:rsidP="009348BE">
            <w:pPr>
              <w:pStyle w:val="ListParagraph"/>
              <w:spacing w:line="276" w:lineRule="auto"/>
              <w:ind w:left="0" w:right="-432"/>
            </w:pPr>
            <w:r>
              <w:t>44.83</w:t>
            </w:r>
          </w:p>
        </w:tc>
      </w:tr>
      <w:tr w:rsidR="00753E79" w14:paraId="1331465C" w14:textId="77777777" w:rsidTr="00753E79">
        <w:trPr>
          <w:jc w:val="center"/>
        </w:trPr>
        <w:tc>
          <w:tcPr>
            <w:tcW w:w="1855" w:type="dxa"/>
          </w:tcPr>
          <w:p w14:paraId="5887632A" w14:textId="77777777" w:rsidR="00753E79" w:rsidRDefault="00753E79" w:rsidP="009348BE">
            <w:pPr>
              <w:pStyle w:val="ListParagraph"/>
              <w:spacing w:line="276" w:lineRule="auto"/>
              <w:ind w:left="0" w:right="-432"/>
            </w:pPr>
            <w:r>
              <w:t>3-4</w:t>
            </w:r>
            <w:r w:rsidRPr="009A2D44">
              <w:rPr>
                <w:vertAlign w:val="superscript"/>
              </w:rPr>
              <w:t>th</w:t>
            </w:r>
            <w:r>
              <w:t xml:space="preserve"> </w:t>
            </w:r>
          </w:p>
        </w:tc>
        <w:tc>
          <w:tcPr>
            <w:tcW w:w="1830" w:type="dxa"/>
          </w:tcPr>
          <w:p w14:paraId="5CF41880" w14:textId="77777777" w:rsidR="00753E79" w:rsidRDefault="00753E79" w:rsidP="009348BE">
            <w:pPr>
              <w:pStyle w:val="ListParagraph"/>
              <w:spacing w:line="276" w:lineRule="auto"/>
              <w:ind w:left="0" w:right="-432"/>
            </w:pPr>
            <w:r>
              <w:t>8.15</w:t>
            </w:r>
          </w:p>
        </w:tc>
        <w:tc>
          <w:tcPr>
            <w:tcW w:w="1877" w:type="dxa"/>
          </w:tcPr>
          <w:p w14:paraId="1B5CC2F7" w14:textId="2E922C7B" w:rsidR="00753E79" w:rsidRDefault="00753E79" w:rsidP="009348BE">
            <w:pPr>
              <w:pStyle w:val="ListParagraph"/>
              <w:spacing w:line="276" w:lineRule="auto"/>
              <w:ind w:left="0" w:right="-432"/>
            </w:pPr>
            <w:r>
              <w:t>4.25</w:t>
            </w:r>
          </w:p>
        </w:tc>
        <w:tc>
          <w:tcPr>
            <w:tcW w:w="1854" w:type="dxa"/>
          </w:tcPr>
          <w:p w14:paraId="50B036C0" w14:textId="14DE2B78" w:rsidR="00753E79" w:rsidRDefault="00753E79" w:rsidP="009348BE">
            <w:pPr>
              <w:pStyle w:val="ListParagraph"/>
              <w:spacing w:line="276" w:lineRule="auto"/>
              <w:ind w:left="0" w:right="-432"/>
            </w:pPr>
            <w:r>
              <w:t>34.64</w:t>
            </w:r>
          </w:p>
        </w:tc>
      </w:tr>
      <w:tr w:rsidR="00753E79" w14:paraId="158B71DB" w14:textId="77777777" w:rsidTr="00753E79">
        <w:trPr>
          <w:jc w:val="center"/>
        </w:trPr>
        <w:tc>
          <w:tcPr>
            <w:tcW w:w="1855" w:type="dxa"/>
          </w:tcPr>
          <w:p w14:paraId="6464EC65" w14:textId="77777777" w:rsidR="00753E79" w:rsidRDefault="00753E79" w:rsidP="009348BE">
            <w:pPr>
              <w:pStyle w:val="ListParagraph"/>
              <w:spacing w:line="276" w:lineRule="auto"/>
              <w:ind w:left="0" w:right="-432"/>
            </w:pPr>
            <w:r>
              <w:t>5-8</w:t>
            </w:r>
            <w:r w:rsidRPr="009A2D44">
              <w:rPr>
                <w:vertAlign w:val="superscript"/>
              </w:rPr>
              <w:t>th</w:t>
            </w:r>
            <w:r>
              <w:t xml:space="preserve"> </w:t>
            </w:r>
          </w:p>
        </w:tc>
        <w:tc>
          <w:tcPr>
            <w:tcW w:w="1830" w:type="dxa"/>
          </w:tcPr>
          <w:p w14:paraId="0ECDC8A5" w14:textId="77777777" w:rsidR="00753E79" w:rsidRDefault="00753E79" w:rsidP="009348BE">
            <w:pPr>
              <w:pStyle w:val="ListParagraph"/>
              <w:spacing w:line="276" w:lineRule="auto"/>
              <w:ind w:left="0" w:right="-432"/>
            </w:pPr>
            <w:r>
              <w:t>8.15</w:t>
            </w:r>
          </w:p>
        </w:tc>
        <w:tc>
          <w:tcPr>
            <w:tcW w:w="1877" w:type="dxa"/>
          </w:tcPr>
          <w:p w14:paraId="07970F47" w14:textId="693ADCAD" w:rsidR="00753E79" w:rsidRDefault="00753E79" w:rsidP="009348BE">
            <w:pPr>
              <w:pStyle w:val="ListParagraph"/>
              <w:spacing w:line="276" w:lineRule="auto"/>
              <w:ind w:left="0" w:right="-432"/>
            </w:pPr>
            <w:r>
              <w:t>3.00</w:t>
            </w:r>
          </w:p>
        </w:tc>
        <w:tc>
          <w:tcPr>
            <w:tcW w:w="1854" w:type="dxa"/>
          </w:tcPr>
          <w:p w14:paraId="4931C626" w14:textId="77777777" w:rsidR="00753E79" w:rsidRDefault="00753E79" w:rsidP="009348BE">
            <w:pPr>
              <w:pStyle w:val="ListParagraph"/>
              <w:spacing w:line="276" w:lineRule="auto"/>
              <w:ind w:left="0" w:right="-432"/>
            </w:pPr>
            <w:r>
              <w:t>24.45</w:t>
            </w:r>
          </w:p>
        </w:tc>
      </w:tr>
    </w:tbl>
    <w:p w14:paraId="219B8E11" w14:textId="03718DC8" w:rsidR="00590532" w:rsidRDefault="00590532" w:rsidP="009348BE">
      <w:pPr>
        <w:pStyle w:val="ListParagraph"/>
        <w:spacing w:line="276" w:lineRule="auto"/>
        <w:ind w:left="0" w:right="-432"/>
        <w:jc w:val="center"/>
      </w:pPr>
      <w:r>
        <w:t>* Thi</w:t>
      </w:r>
      <w:r w:rsidR="002F22F0">
        <w:t>s event yields a total of 268.95</w:t>
      </w:r>
      <w:r>
        <w:t xml:space="preserve"> points</w:t>
      </w:r>
    </w:p>
    <w:p w14:paraId="3322D31E" w14:textId="77777777" w:rsidR="00590532" w:rsidRDefault="00590532" w:rsidP="009348BE">
      <w:pPr>
        <w:ind w:right="-432"/>
      </w:pPr>
    </w:p>
    <w:p w14:paraId="0E4481CD" w14:textId="77777777" w:rsidR="00213F39" w:rsidRDefault="00213F39" w:rsidP="009348BE">
      <w:pPr>
        <w:ind w:right="-432"/>
      </w:pPr>
    </w:p>
    <w:p w14:paraId="7534548F" w14:textId="77777777" w:rsidR="00213F39" w:rsidRDefault="00213F39" w:rsidP="009348BE">
      <w:pPr>
        <w:ind w:right="-432"/>
      </w:pPr>
    </w:p>
    <w:p w14:paraId="739CEFE7" w14:textId="77777777" w:rsidR="00213F39" w:rsidRDefault="00213F39" w:rsidP="009348BE">
      <w:pPr>
        <w:ind w:right="-432"/>
      </w:pPr>
    </w:p>
    <w:p w14:paraId="66AC57CB" w14:textId="77777777" w:rsidR="00213F39" w:rsidRDefault="00213F39" w:rsidP="009348BE">
      <w:pPr>
        <w:ind w:right="-432"/>
      </w:pPr>
    </w:p>
    <w:p w14:paraId="7CB0EFB8" w14:textId="77777777" w:rsidR="00213F39" w:rsidRDefault="00213F39" w:rsidP="009348BE">
      <w:pPr>
        <w:ind w:right="-432"/>
      </w:pPr>
    </w:p>
    <w:p w14:paraId="2AE9520B" w14:textId="77777777" w:rsidR="00213F39" w:rsidRDefault="00213F39" w:rsidP="009348BE">
      <w:pPr>
        <w:ind w:right="-432"/>
      </w:pPr>
    </w:p>
    <w:p w14:paraId="53FD2E8F" w14:textId="77777777" w:rsidR="00213F39" w:rsidRDefault="00213F39" w:rsidP="009348BE">
      <w:pPr>
        <w:ind w:right="-432"/>
      </w:pPr>
    </w:p>
    <w:p w14:paraId="32F0177D" w14:textId="77777777" w:rsidR="00213F39" w:rsidRDefault="00213F39" w:rsidP="009348BE">
      <w:pPr>
        <w:ind w:right="-432"/>
      </w:pPr>
    </w:p>
    <w:p w14:paraId="3FC1F3B2" w14:textId="77777777" w:rsidR="00213F39" w:rsidRDefault="00213F39" w:rsidP="009348BE">
      <w:pPr>
        <w:ind w:right="-432"/>
      </w:pPr>
    </w:p>
    <w:p w14:paraId="0EAED2FA" w14:textId="77777777" w:rsidR="00213F39" w:rsidRDefault="00213F39" w:rsidP="009348BE">
      <w:pPr>
        <w:ind w:right="-432"/>
      </w:pPr>
    </w:p>
    <w:p w14:paraId="63E07618" w14:textId="77777777" w:rsidR="00213F39" w:rsidRDefault="00213F39" w:rsidP="009348BE">
      <w:pPr>
        <w:ind w:right="-432"/>
      </w:pPr>
    </w:p>
    <w:p w14:paraId="38A36932" w14:textId="0C977C90" w:rsidR="00213F39" w:rsidRPr="00590532" w:rsidRDefault="00213F39" w:rsidP="009348BE">
      <w:pPr>
        <w:ind w:right="-432"/>
        <w:rPr>
          <w:b/>
        </w:rPr>
      </w:pPr>
      <w:r>
        <w:rPr>
          <w:b/>
        </w:rPr>
        <w:t>Appendix B</w:t>
      </w:r>
      <w:r w:rsidRPr="00590532">
        <w:rPr>
          <w:b/>
        </w:rPr>
        <w:t xml:space="preserve">: </w:t>
      </w:r>
      <w:r>
        <w:rPr>
          <w:b/>
        </w:rPr>
        <w:t>Playdown/Special event examples from the 2013</w:t>
      </w:r>
      <w:r w:rsidRPr="00590532">
        <w:rPr>
          <w:b/>
        </w:rPr>
        <w:t>-15 season:</w:t>
      </w:r>
    </w:p>
    <w:p w14:paraId="0B75935F" w14:textId="77777777" w:rsidR="00213F39" w:rsidRDefault="00213F39" w:rsidP="009348BE">
      <w:pPr>
        <w:ind w:right="-432"/>
      </w:pPr>
    </w:p>
    <w:p w14:paraId="344B3F49" w14:textId="093000E8" w:rsidR="001460C9" w:rsidRDefault="003606B7" w:rsidP="00753E79">
      <w:pPr>
        <w:ind w:right="-432"/>
        <w:jc w:val="both"/>
      </w:pPr>
      <w:r>
        <w:t>Example 1: 2015</w:t>
      </w:r>
      <w:r w:rsidR="001460C9">
        <w:t xml:space="preserve"> Scotties, CAN National Championship: SFM: 3.09</w:t>
      </w:r>
      <w:r>
        <w:t xml:space="preserve"> - (3.09/12)*24 = 6.18 (no max.)*(0.875 # multiplier)*(1.0 - no purse multiplier)*(1.9 importance factor) = 10.27</w:t>
      </w:r>
    </w:p>
    <w:p w14:paraId="612FB9D6" w14:textId="77777777" w:rsidR="003606B7" w:rsidRDefault="003606B7" w:rsidP="009348BE">
      <w:pPr>
        <w:ind w:right="-432"/>
      </w:pPr>
    </w:p>
    <w:tbl>
      <w:tblPr>
        <w:tblStyle w:val="TableGrid"/>
        <w:tblW w:w="0" w:type="auto"/>
        <w:jc w:val="center"/>
        <w:tblInd w:w="1440" w:type="dxa"/>
        <w:tblLook w:val="04A0" w:firstRow="1" w:lastRow="0" w:firstColumn="1" w:lastColumn="0" w:noHBand="0" w:noVBand="1"/>
      </w:tblPr>
      <w:tblGrid>
        <w:gridCol w:w="1848"/>
        <w:gridCol w:w="1848"/>
        <w:gridCol w:w="1872"/>
        <w:gridCol w:w="1848"/>
      </w:tblGrid>
      <w:tr w:rsidR="003606B7" w14:paraId="441DBEEA" w14:textId="77777777" w:rsidTr="00753E79">
        <w:trPr>
          <w:jc w:val="center"/>
        </w:trPr>
        <w:tc>
          <w:tcPr>
            <w:tcW w:w="1848" w:type="dxa"/>
          </w:tcPr>
          <w:p w14:paraId="3812F267" w14:textId="77777777" w:rsidR="003606B7" w:rsidRPr="00753E79" w:rsidRDefault="003606B7" w:rsidP="009348BE">
            <w:pPr>
              <w:pStyle w:val="ListParagraph"/>
              <w:spacing w:line="276" w:lineRule="auto"/>
              <w:ind w:left="0" w:right="-432"/>
              <w:rPr>
                <w:b/>
              </w:rPr>
            </w:pPr>
            <w:r w:rsidRPr="00753E79">
              <w:rPr>
                <w:b/>
              </w:rPr>
              <w:t>Place</w:t>
            </w:r>
          </w:p>
        </w:tc>
        <w:tc>
          <w:tcPr>
            <w:tcW w:w="1848" w:type="dxa"/>
          </w:tcPr>
          <w:p w14:paraId="49EA2E76" w14:textId="77777777" w:rsidR="003606B7" w:rsidRPr="00753E79" w:rsidRDefault="003606B7" w:rsidP="009348BE">
            <w:pPr>
              <w:pStyle w:val="ListParagraph"/>
              <w:spacing w:line="276" w:lineRule="auto"/>
              <w:ind w:left="0" w:right="-432"/>
              <w:rPr>
                <w:b/>
              </w:rPr>
            </w:pPr>
            <w:r w:rsidRPr="00753E79">
              <w:rPr>
                <w:b/>
              </w:rPr>
              <w:t>SFM</w:t>
            </w:r>
          </w:p>
        </w:tc>
        <w:tc>
          <w:tcPr>
            <w:tcW w:w="1872" w:type="dxa"/>
          </w:tcPr>
          <w:p w14:paraId="380544ED" w14:textId="77777777" w:rsidR="003606B7" w:rsidRPr="00753E79" w:rsidRDefault="003606B7" w:rsidP="009348BE">
            <w:pPr>
              <w:pStyle w:val="ListParagraph"/>
              <w:spacing w:line="276" w:lineRule="auto"/>
              <w:ind w:left="0" w:right="-432"/>
              <w:rPr>
                <w:b/>
              </w:rPr>
            </w:pPr>
            <w:r w:rsidRPr="00753E79">
              <w:rPr>
                <w:b/>
              </w:rPr>
              <w:t>Base Points</w:t>
            </w:r>
          </w:p>
        </w:tc>
        <w:tc>
          <w:tcPr>
            <w:tcW w:w="1848" w:type="dxa"/>
          </w:tcPr>
          <w:p w14:paraId="3D320CB1" w14:textId="77777777" w:rsidR="003606B7" w:rsidRPr="00753E79" w:rsidRDefault="003606B7" w:rsidP="009348BE">
            <w:pPr>
              <w:pStyle w:val="ListParagraph"/>
              <w:spacing w:line="276" w:lineRule="auto"/>
              <w:ind w:left="0" w:right="-432"/>
              <w:rPr>
                <w:b/>
              </w:rPr>
            </w:pPr>
            <w:r w:rsidRPr="00753E79">
              <w:rPr>
                <w:b/>
              </w:rPr>
              <w:t>Total</w:t>
            </w:r>
          </w:p>
        </w:tc>
      </w:tr>
      <w:tr w:rsidR="00753E79" w14:paraId="3E4D3DDF" w14:textId="77777777" w:rsidTr="00753E79">
        <w:trPr>
          <w:jc w:val="center"/>
        </w:trPr>
        <w:tc>
          <w:tcPr>
            <w:tcW w:w="1848" w:type="dxa"/>
          </w:tcPr>
          <w:p w14:paraId="4431DDF7" w14:textId="77777777" w:rsidR="00753E79" w:rsidRDefault="00753E79" w:rsidP="009348BE">
            <w:pPr>
              <w:pStyle w:val="ListParagraph"/>
              <w:spacing w:line="276" w:lineRule="auto"/>
              <w:ind w:left="0" w:right="-432"/>
            </w:pPr>
            <w:r>
              <w:t>1</w:t>
            </w:r>
            <w:r w:rsidRPr="009A2D44">
              <w:rPr>
                <w:vertAlign w:val="superscript"/>
              </w:rPr>
              <w:t>st</w:t>
            </w:r>
            <w:r>
              <w:t xml:space="preserve"> </w:t>
            </w:r>
          </w:p>
        </w:tc>
        <w:tc>
          <w:tcPr>
            <w:tcW w:w="1848" w:type="dxa"/>
          </w:tcPr>
          <w:p w14:paraId="481D2718" w14:textId="51E9C745" w:rsidR="00753E79" w:rsidRDefault="00753E79" w:rsidP="009348BE">
            <w:pPr>
              <w:pStyle w:val="ListParagraph"/>
              <w:spacing w:line="276" w:lineRule="auto"/>
              <w:ind w:left="0" w:right="-432"/>
            </w:pPr>
            <w:r>
              <w:t>10.27</w:t>
            </w:r>
          </w:p>
        </w:tc>
        <w:tc>
          <w:tcPr>
            <w:tcW w:w="1872" w:type="dxa"/>
          </w:tcPr>
          <w:p w14:paraId="21719FCF" w14:textId="061C67AD" w:rsidR="00753E79" w:rsidRDefault="00753E79" w:rsidP="009348BE">
            <w:pPr>
              <w:pStyle w:val="ListParagraph"/>
              <w:spacing w:line="276" w:lineRule="auto"/>
              <w:ind w:left="0" w:right="-432"/>
            </w:pPr>
            <w:r>
              <w:t>7.00</w:t>
            </w:r>
          </w:p>
        </w:tc>
        <w:tc>
          <w:tcPr>
            <w:tcW w:w="1848" w:type="dxa"/>
          </w:tcPr>
          <w:p w14:paraId="1F0C84BE" w14:textId="45D2D8AC" w:rsidR="00753E79" w:rsidRDefault="00753E79" w:rsidP="009348BE">
            <w:pPr>
              <w:pStyle w:val="ListParagraph"/>
              <w:spacing w:line="276" w:lineRule="auto"/>
              <w:ind w:left="0" w:right="-432"/>
            </w:pPr>
            <w:r>
              <w:t>71.89</w:t>
            </w:r>
          </w:p>
        </w:tc>
      </w:tr>
      <w:tr w:rsidR="00753E79" w14:paraId="22377ED5" w14:textId="77777777" w:rsidTr="00753E79">
        <w:trPr>
          <w:jc w:val="center"/>
        </w:trPr>
        <w:tc>
          <w:tcPr>
            <w:tcW w:w="1848" w:type="dxa"/>
          </w:tcPr>
          <w:p w14:paraId="344B6D7A" w14:textId="77777777" w:rsidR="00753E79" w:rsidRDefault="00753E79" w:rsidP="009348BE">
            <w:pPr>
              <w:pStyle w:val="ListParagraph"/>
              <w:spacing w:line="276" w:lineRule="auto"/>
              <w:ind w:left="0" w:right="-432"/>
            </w:pPr>
            <w:r>
              <w:t>2</w:t>
            </w:r>
            <w:r w:rsidRPr="009A2D44">
              <w:rPr>
                <w:vertAlign w:val="superscript"/>
              </w:rPr>
              <w:t>nd</w:t>
            </w:r>
            <w:r>
              <w:t xml:space="preserve"> </w:t>
            </w:r>
          </w:p>
        </w:tc>
        <w:tc>
          <w:tcPr>
            <w:tcW w:w="1848" w:type="dxa"/>
          </w:tcPr>
          <w:p w14:paraId="4CB3B683" w14:textId="4736CDCE" w:rsidR="00753E79" w:rsidRDefault="00753E79" w:rsidP="009348BE">
            <w:pPr>
              <w:pStyle w:val="ListParagraph"/>
              <w:spacing w:line="276" w:lineRule="auto"/>
              <w:ind w:left="0" w:right="-432"/>
            </w:pPr>
            <w:r>
              <w:t>10.27</w:t>
            </w:r>
          </w:p>
        </w:tc>
        <w:tc>
          <w:tcPr>
            <w:tcW w:w="1872" w:type="dxa"/>
          </w:tcPr>
          <w:p w14:paraId="256DAD96" w14:textId="529DB0C9" w:rsidR="00753E79" w:rsidRDefault="00753E79" w:rsidP="009348BE">
            <w:pPr>
              <w:pStyle w:val="ListParagraph"/>
              <w:spacing w:line="276" w:lineRule="auto"/>
              <w:ind w:left="0" w:right="-432"/>
            </w:pPr>
            <w:r>
              <w:t>5.50</w:t>
            </w:r>
          </w:p>
        </w:tc>
        <w:tc>
          <w:tcPr>
            <w:tcW w:w="1848" w:type="dxa"/>
          </w:tcPr>
          <w:p w14:paraId="7BA91FD7" w14:textId="23D3CBA3" w:rsidR="00753E79" w:rsidRDefault="00753E79" w:rsidP="009348BE">
            <w:pPr>
              <w:pStyle w:val="ListParagraph"/>
              <w:spacing w:line="276" w:lineRule="auto"/>
              <w:ind w:left="0" w:right="-432"/>
            </w:pPr>
            <w:r>
              <w:t>56.49</w:t>
            </w:r>
          </w:p>
        </w:tc>
      </w:tr>
      <w:tr w:rsidR="00753E79" w14:paraId="0003F85B" w14:textId="77777777" w:rsidTr="00753E79">
        <w:trPr>
          <w:jc w:val="center"/>
        </w:trPr>
        <w:tc>
          <w:tcPr>
            <w:tcW w:w="1848" w:type="dxa"/>
          </w:tcPr>
          <w:p w14:paraId="46097171" w14:textId="37504C33" w:rsidR="00753E79" w:rsidRDefault="00753E79" w:rsidP="009348BE">
            <w:pPr>
              <w:pStyle w:val="ListParagraph"/>
              <w:spacing w:line="276" w:lineRule="auto"/>
              <w:ind w:left="0" w:right="-432"/>
            </w:pPr>
            <w:r>
              <w:t>3</w:t>
            </w:r>
            <w:r w:rsidRPr="003606B7">
              <w:rPr>
                <w:vertAlign w:val="superscript"/>
              </w:rPr>
              <w:t>rd</w:t>
            </w:r>
          </w:p>
        </w:tc>
        <w:tc>
          <w:tcPr>
            <w:tcW w:w="1848" w:type="dxa"/>
          </w:tcPr>
          <w:p w14:paraId="7351E180" w14:textId="4856FB6D" w:rsidR="00753E79" w:rsidRDefault="00753E79" w:rsidP="009348BE">
            <w:pPr>
              <w:pStyle w:val="ListParagraph"/>
              <w:spacing w:line="276" w:lineRule="auto"/>
              <w:ind w:left="0" w:right="-432"/>
            </w:pPr>
            <w:r>
              <w:t>10.27</w:t>
            </w:r>
          </w:p>
        </w:tc>
        <w:tc>
          <w:tcPr>
            <w:tcW w:w="1872" w:type="dxa"/>
          </w:tcPr>
          <w:p w14:paraId="2744E975" w14:textId="7730255C" w:rsidR="00753E79" w:rsidRDefault="00753E79" w:rsidP="009348BE">
            <w:pPr>
              <w:pStyle w:val="ListParagraph"/>
              <w:spacing w:line="276" w:lineRule="auto"/>
              <w:ind w:left="0" w:right="-432"/>
            </w:pPr>
            <w:r>
              <w:t>4.25</w:t>
            </w:r>
          </w:p>
        </w:tc>
        <w:tc>
          <w:tcPr>
            <w:tcW w:w="1848" w:type="dxa"/>
          </w:tcPr>
          <w:p w14:paraId="19BCEE05" w14:textId="4F284491" w:rsidR="00753E79" w:rsidRDefault="00753E79" w:rsidP="009348BE">
            <w:pPr>
              <w:pStyle w:val="ListParagraph"/>
              <w:spacing w:line="276" w:lineRule="auto"/>
              <w:ind w:left="0" w:right="-432"/>
            </w:pPr>
            <w:r>
              <w:t>43.65</w:t>
            </w:r>
          </w:p>
        </w:tc>
      </w:tr>
      <w:tr w:rsidR="00753E79" w14:paraId="2E506C87" w14:textId="77777777" w:rsidTr="00753E79">
        <w:trPr>
          <w:jc w:val="center"/>
        </w:trPr>
        <w:tc>
          <w:tcPr>
            <w:tcW w:w="1848" w:type="dxa"/>
          </w:tcPr>
          <w:p w14:paraId="335B79ED" w14:textId="7B0245FF" w:rsidR="00753E79" w:rsidRDefault="00753E79" w:rsidP="009348BE">
            <w:pPr>
              <w:pStyle w:val="ListParagraph"/>
              <w:spacing w:line="276" w:lineRule="auto"/>
              <w:ind w:left="0" w:right="-432"/>
            </w:pPr>
            <w:r>
              <w:t>4</w:t>
            </w:r>
            <w:r w:rsidRPr="003606B7">
              <w:rPr>
                <w:vertAlign w:val="superscript"/>
              </w:rPr>
              <w:t>th</w:t>
            </w:r>
          </w:p>
        </w:tc>
        <w:tc>
          <w:tcPr>
            <w:tcW w:w="1848" w:type="dxa"/>
          </w:tcPr>
          <w:p w14:paraId="57613BC9" w14:textId="1373D30B" w:rsidR="00753E79" w:rsidRDefault="00753E79" w:rsidP="009348BE">
            <w:pPr>
              <w:pStyle w:val="ListParagraph"/>
              <w:spacing w:line="276" w:lineRule="auto"/>
              <w:ind w:left="0" w:right="-432"/>
            </w:pPr>
            <w:r>
              <w:t>10.27</w:t>
            </w:r>
          </w:p>
        </w:tc>
        <w:tc>
          <w:tcPr>
            <w:tcW w:w="1872" w:type="dxa"/>
          </w:tcPr>
          <w:p w14:paraId="483F68A5" w14:textId="2A43CD52" w:rsidR="00753E79" w:rsidRDefault="00753E79" w:rsidP="009348BE">
            <w:pPr>
              <w:pStyle w:val="ListParagraph"/>
              <w:spacing w:line="276" w:lineRule="auto"/>
              <w:ind w:left="0" w:right="-432"/>
            </w:pPr>
            <w:r>
              <w:t>3.00</w:t>
            </w:r>
          </w:p>
        </w:tc>
        <w:tc>
          <w:tcPr>
            <w:tcW w:w="1848" w:type="dxa"/>
          </w:tcPr>
          <w:p w14:paraId="439E6333" w14:textId="7EB63654" w:rsidR="00753E79" w:rsidRDefault="00753E79" w:rsidP="009348BE">
            <w:pPr>
              <w:pStyle w:val="ListParagraph"/>
              <w:spacing w:line="276" w:lineRule="auto"/>
              <w:ind w:left="0" w:right="-432"/>
            </w:pPr>
            <w:r>
              <w:t>30.81</w:t>
            </w:r>
          </w:p>
        </w:tc>
      </w:tr>
    </w:tbl>
    <w:p w14:paraId="7EF92BD1" w14:textId="77777777" w:rsidR="003606B7" w:rsidRDefault="003606B7" w:rsidP="009348BE">
      <w:pPr>
        <w:ind w:right="-432"/>
      </w:pPr>
    </w:p>
    <w:p w14:paraId="103B75FE" w14:textId="7DC1B1BE" w:rsidR="003606B7" w:rsidRDefault="003606B7" w:rsidP="00753E79">
      <w:pPr>
        <w:ind w:right="-432"/>
        <w:jc w:val="both"/>
      </w:pPr>
      <w:r>
        <w:t>Example 2: 2015 Brier, CAN National Championship: SFM: 3.65 - (3.65/12)*24 = 7.30 (no max.)*(0.875 # multiplier)*(1.0 - no purse multiplier)*(1.9 importance factor) = 12.14</w:t>
      </w:r>
    </w:p>
    <w:p w14:paraId="3DF163DD" w14:textId="77777777" w:rsidR="003606B7" w:rsidRDefault="003606B7" w:rsidP="009348BE">
      <w:pPr>
        <w:ind w:right="-432"/>
      </w:pPr>
    </w:p>
    <w:tbl>
      <w:tblPr>
        <w:tblStyle w:val="TableGrid"/>
        <w:tblW w:w="0" w:type="auto"/>
        <w:jc w:val="center"/>
        <w:tblInd w:w="1440" w:type="dxa"/>
        <w:tblLook w:val="04A0" w:firstRow="1" w:lastRow="0" w:firstColumn="1" w:lastColumn="0" w:noHBand="0" w:noVBand="1"/>
      </w:tblPr>
      <w:tblGrid>
        <w:gridCol w:w="1848"/>
        <w:gridCol w:w="1848"/>
        <w:gridCol w:w="1872"/>
        <w:gridCol w:w="1848"/>
      </w:tblGrid>
      <w:tr w:rsidR="003606B7" w14:paraId="50E348E5" w14:textId="77777777" w:rsidTr="00753E79">
        <w:trPr>
          <w:jc w:val="center"/>
        </w:trPr>
        <w:tc>
          <w:tcPr>
            <w:tcW w:w="1848" w:type="dxa"/>
          </w:tcPr>
          <w:p w14:paraId="043E4358" w14:textId="77777777" w:rsidR="003606B7" w:rsidRPr="00753E79" w:rsidRDefault="003606B7" w:rsidP="009348BE">
            <w:pPr>
              <w:pStyle w:val="ListParagraph"/>
              <w:spacing w:line="276" w:lineRule="auto"/>
              <w:ind w:left="0" w:right="-432"/>
              <w:rPr>
                <w:b/>
              </w:rPr>
            </w:pPr>
            <w:r w:rsidRPr="00753E79">
              <w:rPr>
                <w:b/>
              </w:rPr>
              <w:t>Place</w:t>
            </w:r>
          </w:p>
        </w:tc>
        <w:tc>
          <w:tcPr>
            <w:tcW w:w="1848" w:type="dxa"/>
          </w:tcPr>
          <w:p w14:paraId="63AA2C0E" w14:textId="77777777" w:rsidR="003606B7" w:rsidRPr="00753E79" w:rsidRDefault="003606B7" w:rsidP="009348BE">
            <w:pPr>
              <w:pStyle w:val="ListParagraph"/>
              <w:spacing w:line="276" w:lineRule="auto"/>
              <w:ind w:left="0" w:right="-432"/>
              <w:rPr>
                <w:b/>
              </w:rPr>
            </w:pPr>
            <w:r w:rsidRPr="00753E79">
              <w:rPr>
                <w:b/>
              </w:rPr>
              <w:t>SFM</w:t>
            </w:r>
          </w:p>
        </w:tc>
        <w:tc>
          <w:tcPr>
            <w:tcW w:w="1872" w:type="dxa"/>
          </w:tcPr>
          <w:p w14:paraId="126911EB" w14:textId="77777777" w:rsidR="003606B7" w:rsidRPr="00753E79" w:rsidRDefault="003606B7" w:rsidP="009348BE">
            <w:pPr>
              <w:pStyle w:val="ListParagraph"/>
              <w:spacing w:line="276" w:lineRule="auto"/>
              <w:ind w:left="0" w:right="-432"/>
              <w:rPr>
                <w:b/>
              </w:rPr>
            </w:pPr>
            <w:r w:rsidRPr="00753E79">
              <w:rPr>
                <w:b/>
              </w:rPr>
              <w:t>Base Points</w:t>
            </w:r>
          </w:p>
        </w:tc>
        <w:tc>
          <w:tcPr>
            <w:tcW w:w="1848" w:type="dxa"/>
          </w:tcPr>
          <w:p w14:paraId="63E12F5F" w14:textId="77777777" w:rsidR="003606B7" w:rsidRPr="00753E79" w:rsidRDefault="003606B7" w:rsidP="009348BE">
            <w:pPr>
              <w:pStyle w:val="ListParagraph"/>
              <w:spacing w:line="276" w:lineRule="auto"/>
              <w:ind w:left="0" w:right="-432"/>
              <w:rPr>
                <w:b/>
              </w:rPr>
            </w:pPr>
            <w:r w:rsidRPr="00753E79">
              <w:rPr>
                <w:b/>
              </w:rPr>
              <w:t>Total</w:t>
            </w:r>
          </w:p>
        </w:tc>
      </w:tr>
      <w:tr w:rsidR="00753E79" w14:paraId="175F5CF0" w14:textId="77777777" w:rsidTr="00753E79">
        <w:trPr>
          <w:jc w:val="center"/>
        </w:trPr>
        <w:tc>
          <w:tcPr>
            <w:tcW w:w="1848" w:type="dxa"/>
          </w:tcPr>
          <w:p w14:paraId="3A705CEC" w14:textId="77777777" w:rsidR="00753E79" w:rsidRDefault="00753E79" w:rsidP="009348BE">
            <w:pPr>
              <w:pStyle w:val="ListParagraph"/>
              <w:spacing w:line="276" w:lineRule="auto"/>
              <w:ind w:left="0" w:right="-432"/>
            </w:pPr>
            <w:r>
              <w:t>1</w:t>
            </w:r>
            <w:r w:rsidRPr="009A2D44">
              <w:rPr>
                <w:vertAlign w:val="superscript"/>
              </w:rPr>
              <w:t>st</w:t>
            </w:r>
            <w:r>
              <w:t xml:space="preserve"> </w:t>
            </w:r>
          </w:p>
        </w:tc>
        <w:tc>
          <w:tcPr>
            <w:tcW w:w="1848" w:type="dxa"/>
          </w:tcPr>
          <w:p w14:paraId="03A99A83" w14:textId="1565F87A" w:rsidR="00753E79" w:rsidRDefault="00753E79" w:rsidP="009348BE">
            <w:pPr>
              <w:pStyle w:val="ListParagraph"/>
              <w:spacing w:line="276" w:lineRule="auto"/>
              <w:ind w:left="0" w:right="-432"/>
            </w:pPr>
            <w:r>
              <w:t>12.14</w:t>
            </w:r>
          </w:p>
        </w:tc>
        <w:tc>
          <w:tcPr>
            <w:tcW w:w="1872" w:type="dxa"/>
          </w:tcPr>
          <w:p w14:paraId="1C993FBA" w14:textId="0582800A" w:rsidR="00753E79" w:rsidRDefault="00753E79" w:rsidP="009348BE">
            <w:pPr>
              <w:pStyle w:val="ListParagraph"/>
              <w:spacing w:line="276" w:lineRule="auto"/>
              <w:ind w:left="0" w:right="-432"/>
            </w:pPr>
            <w:r>
              <w:t>7.00</w:t>
            </w:r>
          </w:p>
        </w:tc>
        <w:tc>
          <w:tcPr>
            <w:tcW w:w="1848" w:type="dxa"/>
          </w:tcPr>
          <w:p w14:paraId="3E2E7586" w14:textId="705D913D" w:rsidR="00753E79" w:rsidRDefault="00753E79" w:rsidP="009348BE">
            <w:pPr>
              <w:pStyle w:val="ListParagraph"/>
              <w:spacing w:line="276" w:lineRule="auto"/>
              <w:ind w:left="0" w:right="-432"/>
            </w:pPr>
            <w:r>
              <w:t>84.98</w:t>
            </w:r>
          </w:p>
        </w:tc>
      </w:tr>
      <w:tr w:rsidR="00753E79" w14:paraId="04F10E57" w14:textId="77777777" w:rsidTr="00753E79">
        <w:trPr>
          <w:jc w:val="center"/>
        </w:trPr>
        <w:tc>
          <w:tcPr>
            <w:tcW w:w="1848" w:type="dxa"/>
          </w:tcPr>
          <w:p w14:paraId="407D3310" w14:textId="77777777" w:rsidR="00753E79" w:rsidRDefault="00753E79" w:rsidP="009348BE">
            <w:pPr>
              <w:pStyle w:val="ListParagraph"/>
              <w:spacing w:line="276" w:lineRule="auto"/>
              <w:ind w:left="0" w:right="-432"/>
            </w:pPr>
            <w:r>
              <w:t>2</w:t>
            </w:r>
            <w:r w:rsidRPr="009A2D44">
              <w:rPr>
                <w:vertAlign w:val="superscript"/>
              </w:rPr>
              <w:t>nd</w:t>
            </w:r>
            <w:r>
              <w:t xml:space="preserve"> </w:t>
            </w:r>
          </w:p>
        </w:tc>
        <w:tc>
          <w:tcPr>
            <w:tcW w:w="1848" w:type="dxa"/>
          </w:tcPr>
          <w:p w14:paraId="1E1CB86B" w14:textId="3F77B353" w:rsidR="00753E79" w:rsidRDefault="00753E79" w:rsidP="009348BE">
            <w:pPr>
              <w:pStyle w:val="ListParagraph"/>
              <w:spacing w:line="276" w:lineRule="auto"/>
              <w:ind w:left="0" w:right="-432"/>
            </w:pPr>
            <w:r>
              <w:t>12.14</w:t>
            </w:r>
          </w:p>
        </w:tc>
        <w:tc>
          <w:tcPr>
            <w:tcW w:w="1872" w:type="dxa"/>
          </w:tcPr>
          <w:p w14:paraId="4EDB9EE9" w14:textId="3657AFA1" w:rsidR="00753E79" w:rsidRDefault="00753E79" w:rsidP="009348BE">
            <w:pPr>
              <w:pStyle w:val="ListParagraph"/>
              <w:spacing w:line="276" w:lineRule="auto"/>
              <w:ind w:left="0" w:right="-432"/>
            </w:pPr>
            <w:r>
              <w:t>5.50</w:t>
            </w:r>
          </w:p>
        </w:tc>
        <w:tc>
          <w:tcPr>
            <w:tcW w:w="1848" w:type="dxa"/>
          </w:tcPr>
          <w:p w14:paraId="5A6C39C5" w14:textId="42695C85" w:rsidR="00753E79" w:rsidRDefault="00753E79" w:rsidP="009348BE">
            <w:pPr>
              <w:pStyle w:val="ListParagraph"/>
              <w:spacing w:line="276" w:lineRule="auto"/>
              <w:ind w:left="0" w:right="-432"/>
            </w:pPr>
            <w:r>
              <w:t>66.77</w:t>
            </w:r>
          </w:p>
        </w:tc>
      </w:tr>
      <w:tr w:rsidR="00753E79" w14:paraId="59DD0E03" w14:textId="77777777" w:rsidTr="00753E79">
        <w:trPr>
          <w:jc w:val="center"/>
        </w:trPr>
        <w:tc>
          <w:tcPr>
            <w:tcW w:w="1848" w:type="dxa"/>
          </w:tcPr>
          <w:p w14:paraId="2EBFD5EE" w14:textId="77777777" w:rsidR="00753E79" w:rsidRDefault="00753E79" w:rsidP="009348BE">
            <w:pPr>
              <w:pStyle w:val="ListParagraph"/>
              <w:spacing w:line="276" w:lineRule="auto"/>
              <w:ind w:left="0" w:right="-432"/>
            </w:pPr>
            <w:r>
              <w:t>3</w:t>
            </w:r>
            <w:r w:rsidRPr="003606B7">
              <w:rPr>
                <w:vertAlign w:val="superscript"/>
              </w:rPr>
              <w:t>rd</w:t>
            </w:r>
          </w:p>
        </w:tc>
        <w:tc>
          <w:tcPr>
            <w:tcW w:w="1848" w:type="dxa"/>
          </w:tcPr>
          <w:p w14:paraId="107ED964" w14:textId="21CBEA92" w:rsidR="00753E79" w:rsidRDefault="00753E79" w:rsidP="009348BE">
            <w:pPr>
              <w:pStyle w:val="ListParagraph"/>
              <w:spacing w:line="276" w:lineRule="auto"/>
              <w:ind w:left="0" w:right="-432"/>
            </w:pPr>
            <w:r>
              <w:t>12.14</w:t>
            </w:r>
          </w:p>
        </w:tc>
        <w:tc>
          <w:tcPr>
            <w:tcW w:w="1872" w:type="dxa"/>
          </w:tcPr>
          <w:p w14:paraId="6D668134" w14:textId="6C7BE383" w:rsidR="00753E79" w:rsidRDefault="00753E79" w:rsidP="009348BE">
            <w:pPr>
              <w:pStyle w:val="ListParagraph"/>
              <w:spacing w:line="276" w:lineRule="auto"/>
              <w:ind w:left="0" w:right="-432"/>
            </w:pPr>
            <w:r>
              <w:t>4.25</w:t>
            </w:r>
          </w:p>
        </w:tc>
        <w:tc>
          <w:tcPr>
            <w:tcW w:w="1848" w:type="dxa"/>
          </w:tcPr>
          <w:p w14:paraId="1077AAB8" w14:textId="16685E86" w:rsidR="00753E79" w:rsidRDefault="00753E79" w:rsidP="009348BE">
            <w:pPr>
              <w:pStyle w:val="ListParagraph"/>
              <w:spacing w:line="276" w:lineRule="auto"/>
              <w:ind w:left="0" w:right="-432"/>
            </w:pPr>
            <w:r>
              <w:t>51.60</w:t>
            </w:r>
          </w:p>
        </w:tc>
      </w:tr>
      <w:tr w:rsidR="00753E79" w14:paraId="5930BDE2" w14:textId="77777777" w:rsidTr="00753E79">
        <w:trPr>
          <w:jc w:val="center"/>
        </w:trPr>
        <w:tc>
          <w:tcPr>
            <w:tcW w:w="1848" w:type="dxa"/>
          </w:tcPr>
          <w:p w14:paraId="106F79A3" w14:textId="77777777" w:rsidR="00753E79" w:rsidRDefault="00753E79" w:rsidP="009348BE">
            <w:pPr>
              <w:pStyle w:val="ListParagraph"/>
              <w:spacing w:line="276" w:lineRule="auto"/>
              <w:ind w:left="0" w:right="-432"/>
            </w:pPr>
            <w:r>
              <w:t>4</w:t>
            </w:r>
            <w:r w:rsidRPr="003606B7">
              <w:rPr>
                <w:vertAlign w:val="superscript"/>
              </w:rPr>
              <w:t>th</w:t>
            </w:r>
          </w:p>
        </w:tc>
        <w:tc>
          <w:tcPr>
            <w:tcW w:w="1848" w:type="dxa"/>
          </w:tcPr>
          <w:p w14:paraId="1F9A0EF3" w14:textId="563C13C7" w:rsidR="00753E79" w:rsidRDefault="00753E79" w:rsidP="009348BE">
            <w:pPr>
              <w:pStyle w:val="ListParagraph"/>
              <w:spacing w:line="276" w:lineRule="auto"/>
              <w:ind w:left="0" w:right="-432"/>
            </w:pPr>
            <w:r>
              <w:t>12.14</w:t>
            </w:r>
          </w:p>
        </w:tc>
        <w:tc>
          <w:tcPr>
            <w:tcW w:w="1872" w:type="dxa"/>
          </w:tcPr>
          <w:p w14:paraId="743C449C" w14:textId="4E54FAAA" w:rsidR="00753E79" w:rsidRDefault="00753E79" w:rsidP="009348BE">
            <w:pPr>
              <w:pStyle w:val="ListParagraph"/>
              <w:spacing w:line="276" w:lineRule="auto"/>
              <w:ind w:left="0" w:right="-432"/>
            </w:pPr>
            <w:r>
              <w:t>3.00</w:t>
            </w:r>
          </w:p>
        </w:tc>
        <w:tc>
          <w:tcPr>
            <w:tcW w:w="1848" w:type="dxa"/>
          </w:tcPr>
          <w:p w14:paraId="472107B0" w14:textId="29A7A307" w:rsidR="00753E79" w:rsidRDefault="00753E79" w:rsidP="009348BE">
            <w:pPr>
              <w:pStyle w:val="ListParagraph"/>
              <w:spacing w:line="276" w:lineRule="auto"/>
              <w:ind w:left="0" w:right="-432"/>
            </w:pPr>
            <w:r>
              <w:t>36.42</w:t>
            </w:r>
          </w:p>
        </w:tc>
      </w:tr>
    </w:tbl>
    <w:p w14:paraId="2F4F267C" w14:textId="4626B144" w:rsidR="003606B7" w:rsidRDefault="003606B7" w:rsidP="009348BE">
      <w:pPr>
        <w:ind w:right="-432"/>
      </w:pPr>
    </w:p>
    <w:p w14:paraId="1F261062" w14:textId="6F06722A" w:rsidR="003606B7" w:rsidRDefault="003606B7" w:rsidP="00753E79">
      <w:pPr>
        <w:ind w:right="-432"/>
        <w:jc w:val="both"/>
      </w:pPr>
      <w:r>
        <w:t>Example 3: 2014 Masters of Curling, Grand Slam: SFM: 5.66 - (5.66/15)*24 = 9.06 (no max.)*(0.969 # multiplier)*(1.25 purse multiplier)*(1.1 importance factor) = 12.05</w:t>
      </w:r>
    </w:p>
    <w:p w14:paraId="0E936C50" w14:textId="77777777" w:rsidR="003606B7" w:rsidRDefault="003606B7" w:rsidP="009348BE">
      <w:pPr>
        <w:ind w:right="-432"/>
      </w:pPr>
    </w:p>
    <w:tbl>
      <w:tblPr>
        <w:tblStyle w:val="TableGrid"/>
        <w:tblW w:w="0" w:type="auto"/>
        <w:jc w:val="center"/>
        <w:tblInd w:w="1440" w:type="dxa"/>
        <w:tblLook w:val="04A0" w:firstRow="1" w:lastRow="0" w:firstColumn="1" w:lastColumn="0" w:noHBand="0" w:noVBand="1"/>
      </w:tblPr>
      <w:tblGrid>
        <w:gridCol w:w="1842"/>
        <w:gridCol w:w="1852"/>
        <w:gridCol w:w="1870"/>
        <w:gridCol w:w="1852"/>
      </w:tblGrid>
      <w:tr w:rsidR="003606B7" w14:paraId="7830A56F" w14:textId="77777777" w:rsidTr="00046D87">
        <w:trPr>
          <w:jc w:val="center"/>
        </w:trPr>
        <w:tc>
          <w:tcPr>
            <w:tcW w:w="1842" w:type="dxa"/>
          </w:tcPr>
          <w:p w14:paraId="790023F3" w14:textId="77777777" w:rsidR="003606B7" w:rsidRPr="00753E79" w:rsidRDefault="003606B7" w:rsidP="009348BE">
            <w:pPr>
              <w:pStyle w:val="ListParagraph"/>
              <w:spacing w:line="276" w:lineRule="auto"/>
              <w:ind w:left="0" w:right="-432"/>
              <w:rPr>
                <w:b/>
              </w:rPr>
            </w:pPr>
            <w:r w:rsidRPr="00753E79">
              <w:rPr>
                <w:b/>
              </w:rPr>
              <w:t>Place</w:t>
            </w:r>
          </w:p>
        </w:tc>
        <w:tc>
          <w:tcPr>
            <w:tcW w:w="1852" w:type="dxa"/>
          </w:tcPr>
          <w:p w14:paraId="1570181E" w14:textId="77777777" w:rsidR="003606B7" w:rsidRPr="00753E79" w:rsidRDefault="003606B7" w:rsidP="009348BE">
            <w:pPr>
              <w:pStyle w:val="ListParagraph"/>
              <w:spacing w:line="276" w:lineRule="auto"/>
              <w:ind w:left="0" w:right="-432"/>
              <w:rPr>
                <w:b/>
              </w:rPr>
            </w:pPr>
            <w:r w:rsidRPr="00753E79">
              <w:rPr>
                <w:b/>
              </w:rPr>
              <w:t>SFM</w:t>
            </w:r>
          </w:p>
        </w:tc>
        <w:tc>
          <w:tcPr>
            <w:tcW w:w="1870" w:type="dxa"/>
          </w:tcPr>
          <w:p w14:paraId="0859EDAD" w14:textId="77777777" w:rsidR="003606B7" w:rsidRPr="00753E79" w:rsidRDefault="003606B7" w:rsidP="009348BE">
            <w:pPr>
              <w:pStyle w:val="ListParagraph"/>
              <w:spacing w:line="276" w:lineRule="auto"/>
              <w:ind w:left="0" w:right="-432"/>
              <w:rPr>
                <w:b/>
              </w:rPr>
            </w:pPr>
            <w:r w:rsidRPr="00753E79">
              <w:rPr>
                <w:b/>
              </w:rPr>
              <w:t>Base Points</w:t>
            </w:r>
          </w:p>
        </w:tc>
        <w:tc>
          <w:tcPr>
            <w:tcW w:w="1852" w:type="dxa"/>
          </w:tcPr>
          <w:p w14:paraId="7CFFB0DA" w14:textId="77777777" w:rsidR="003606B7" w:rsidRPr="00753E79" w:rsidRDefault="003606B7" w:rsidP="009348BE">
            <w:pPr>
              <w:pStyle w:val="ListParagraph"/>
              <w:spacing w:line="276" w:lineRule="auto"/>
              <w:ind w:left="0" w:right="-432"/>
              <w:rPr>
                <w:b/>
              </w:rPr>
            </w:pPr>
            <w:r w:rsidRPr="00753E79">
              <w:rPr>
                <w:b/>
              </w:rPr>
              <w:t>Total</w:t>
            </w:r>
          </w:p>
        </w:tc>
      </w:tr>
      <w:tr w:rsidR="00753E79" w14:paraId="3789515C" w14:textId="77777777" w:rsidTr="00046D87">
        <w:trPr>
          <w:jc w:val="center"/>
        </w:trPr>
        <w:tc>
          <w:tcPr>
            <w:tcW w:w="1842" w:type="dxa"/>
          </w:tcPr>
          <w:p w14:paraId="7D479878" w14:textId="2F8ABC6E" w:rsidR="00753E79" w:rsidRDefault="00753E79" w:rsidP="009348BE">
            <w:pPr>
              <w:pStyle w:val="ListParagraph"/>
              <w:spacing w:line="276" w:lineRule="auto"/>
              <w:ind w:left="0" w:right="-432"/>
            </w:pPr>
            <w:r>
              <w:t>1</w:t>
            </w:r>
            <w:r w:rsidRPr="009A2D44">
              <w:rPr>
                <w:vertAlign w:val="superscript"/>
              </w:rPr>
              <w:t>st</w:t>
            </w:r>
            <w:r>
              <w:t xml:space="preserve"> </w:t>
            </w:r>
          </w:p>
        </w:tc>
        <w:tc>
          <w:tcPr>
            <w:tcW w:w="1852" w:type="dxa"/>
          </w:tcPr>
          <w:p w14:paraId="3EB12B41" w14:textId="28585EF8" w:rsidR="00753E79" w:rsidRDefault="00753E79" w:rsidP="009348BE">
            <w:pPr>
              <w:pStyle w:val="ListParagraph"/>
              <w:spacing w:line="276" w:lineRule="auto"/>
              <w:ind w:left="0" w:right="-432"/>
            </w:pPr>
            <w:r>
              <w:t>12.05</w:t>
            </w:r>
          </w:p>
        </w:tc>
        <w:tc>
          <w:tcPr>
            <w:tcW w:w="1870" w:type="dxa"/>
          </w:tcPr>
          <w:p w14:paraId="2DD5399A" w14:textId="7B1E9649" w:rsidR="00753E79" w:rsidRDefault="00753E79" w:rsidP="009348BE">
            <w:pPr>
              <w:pStyle w:val="ListParagraph"/>
              <w:spacing w:line="276" w:lineRule="auto"/>
              <w:ind w:left="0" w:right="-432"/>
            </w:pPr>
            <w:r>
              <w:t>7.00</w:t>
            </w:r>
          </w:p>
        </w:tc>
        <w:tc>
          <w:tcPr>
            <w:tcW w:w="1852" w:type="dxa"/>
          </w:tcPr>
          <w:p w14:paraId="680F8C61" w14:textId="4B0F4BE5" w:rsidR="00753E79" w:rsidRDefault="00753E79" w:rsidP="009348BE">
            <w:pPr>
              <w:pStyle w:val="ListParagraph"/>
              <w:spacing w:line="276" w:lineRule="auto"/>
              <w:ind w:left="0" w:right="-432"/>
            </w:pPr>
            <w:r>
              <w:t>84.35</w:t>
            </w:r>
          </w:p>
        </w:tc>
      </w:tr>
      <w:tr w:rsidR="00753E79" w14:paraId="06CDCFB2" w14:textId="77777777" w:rsidTr="00046D87">
        <w:trPr>
          <w:jc w:val="center"/>
        </w:trPr>
        <w:tc>
          <w:tcPr>
            <w:tcW w:w="1842" w:type="dxa"/>
          </w:tcPr>
          <w:p w14:paraId="2A031462" w14:textId="4FB8BA5B" w:rsidR="00753E79" w:rsidRDefault="00753E79" w:rsidP="009348BE">
            <w:pPr>
              <w:pStyle w:val="ListParagraph"/>
              <w:spacing w:line="276" w:lineRule="auto"/>
              <w:ind w:left="0" w:right="-432"/>
            </w:pPr>
            <w:r>
              <w:t>2</w:t>
            </w:r>
            <w:r w:rsidRPr="009A2D44">
              <w:rPr>
                <w:vertAlign w:val="superscript"/>
              </w:rPr>
              <w:t>nd</w:t>
            </w:r>
            <w:r>
              <w:t xml:space="preserve"> </w:t>
            </w:r>
          </w:p>
        </w:tc>
        <w:tc>
          <w:tcPr>
            <w:tcW w:w="1852" w:type="dxa"/>
          </w:tcPr>
          <w:p w14:paraId="5331C4E6" w14:textId="727F0B0F" w:rsidR="00753E79" w:rsidRDefault="00753E79" w:rsidP="009348BE">
            <w:pPr>
              <w:pStyle w:val="ListParagraph"/>
              <w:spacing w:line="276" w:lineRule="auto"/>
              <w:ind w:left="0" w:right="-432"/>
            </w:pPr>
            <w:r>
              <w:t>12.05</w:t>
            </w:r>
          </w:p>
        </w:tc>
        <w:tc>
          <w:tcPr>
            <w:tcW w:w="1870" w:type="dxa"/>
          </w:tcPr>
          <w:p w14:paraId="375B8877" w14:textId="2964EA94" w:rsidR="00753E79" w:rsidRDefault="00753E79" w:rsidP="009348BE">
            <w:pPr>
              <w:pStyle w:val="ListParagraph"/>
              <w:spacing w:line="276" w:lineRule="auto"/>
              <w:ind w:left="0" w:right="-432"/>
            </w:pPr>
            <w:r>
              <w:t>5.50</w:t>
            </w:r>
          </w:p>
        </w:tc>
        <w:tc>
          <w:tcPr>
            <w:tcW w:w="1852" w:type="dxa"/>
          </w:tcPr>
          <w:p w14:paraId="4D8F200F" w14:textId="61997DF3" w:rsidR="00753E79" w:rsidRDefault="00753E79" w:rsidP="009348BE">
            <w:pPr>
              <w:pStyle w:val="ListParagraph"/>
              <w:spacing w:line="276" w:lineRule="auto"/>
              <w:ind w:left="0" w:right="-432"/>
            </w:pPr>
            <w:r>
              <w:t>66.28</w:t>
            </w:r>
          </w:p>
        </w:tc>
      </w:tr>
      <w:tr w:rsidR="00753E79" w14:paraId="079EFB8B" w14:textId="77777777" w:rsidTr="00046D87">
        <w:trPr>
          <w:jc w:val="center"/>
        </w:trPr>
        <w:tc>
          <w:tcPr>
            <w:tcW w:w="1842" w:type="dxa"/>
          </w:tcPr>
          <w:p w14:paraId="20A596E3" w14:textId="24A03C0D" w:rsidR="00753E79" w:rsidRDefault="00753E79" w:rsidP="009348BE">
            <w:pPr>
              <w:pStyle w:val="ListParagraph"/>
              <w:spacing w:line="276" w:lineRule="auto"/>
              <w:ind w:left="0" w:right="-432"/>
            </w:pPr>
            <w:r>
              <w:t>3-4</w:t>
            </w:r>
            <w:r w:rsidRPr="009A2D44">
              <w:rPr>
                <w:vertAlign w:val="superscript"/>
              </w:rPr>
              <w:t>th</w:t>
            </w:r>
            <w:r>
              <w:t xml:space="preserve"> </w:t>
            </w:r>
          </w:p>
        </w:tc>
        <w:tc>
          <w:tcPr>
            <w:tcW w:w="1852" w:type="dxa"/>
          </w:tcPr>
          <w:p w14:paraId="0B9A574A" w14:textId="16339DA9" w:rsidR="00753E79" w:rsidRDefault="00753E79" w:rsidP="009348BE">
            <w:pPr>
              <w:pStyle w:val="ListParagraph"/>
              <w:spacing w:line="276" w:lineRule="auto"/>
              <w:ind w:left="0" w:right="-432"/>
            </w:pPr>
            <w:r>
              <w:t>12.05</w:t>
            </w:r>
          </w:p>
        </w:tc>
        <w:tc>
          <w:tcPr>
            <w:tcW w:w="1870" w:type="dxa"/>
          </w:tcPr>
          <w:p w14:paraId="3B1356AC" w14:textId="41276E02" w:rsidR="00753E79" w:rsidRDefault="00753E79" w:rsidP="009348BE">
            <w:pPr>
              <w:pStyle w:val="ListParagraph"/>
              <w:spacing w:line="276" w:lineRule="auto"/>
              <w:ind w:left="0" w:right="-432"/>
            </w:pPr>
            <w:r>
              <w:t>4.25</w:t>
            </w:r>
          </w:p>
        </w:tc>
        <w:tc>
          <w:tcPr>
            <w:tcW w:w="1852" w:type="dxa"/>
          </w:tcPr>
          <w:p w14:paraId="6FF0E570" w14:textId="2C8DF610" w:rsidR="00753E79" w:rsidRDefault="00753E79" w:rsidP="009348BE">
            <w:pPr>
              <w:pStyle w:val="ListParagraph"/>
              <w:spacing w:line="276" w:lineRule="auto"/>
              <w:ind w:left="0" w:right="-432"/>
            </w:pPr>
            <w:r>
              <w:t>51.21</w:t>
            </w:r>
          </w:p>
        </w:tc>
      </w:tr>
      <w:tr w:rsidR="00753E79" w14:paraId="276F5465" w14:textId="77777777" w:rsidTr="00046D87">
        <w:trPr>
          <w:jc w:val="center"/>
        </w:trPr>
        <w:tc>
          <w:tcPr>
            <w:tcW w:w="1842" w:type="dxa"/>
          </w:tcPr>
          <w:p w14:paraId="7924AEBA" w14:textId="72982CFC" w:rsidR="00753E79" w:rsidRDefault="00753E79" w:rsidP="009348BE">
            <w:pPr>
              <w:pStyle w:val="ListParagraph"/>
              <w:spacing w:line="276" w:lineRule="auto"/>
              <w:ind w:left="0" w:right="-432"/>
            </w:pPr>
            <w:r>
              <w:t>5-8</w:t>
            </w:r>
            <w:r w:rsidRPr="009A2D44">
              <w:rPr>
                <w:vertAlign w:val="superscript"/>
              </w:rPr>
              <w:t>th</w:t>
            </w:r>
            <w:r>
              <w:t xml:space="preserve"> </w:t>
            </w:r>
          </w:p>
        </w:tc>
        <w:tc>
          <w:tcPr>
            <w:tcW w:w="1852" w:type="dxa"/>
          </w:tcPr>
          <w:p w14:paraId="0F500E5C" w14:textId="4AB33FC7" w:rsidR="00753E79" w:rsidRDefault="00753E79" w:rsidP="009348BE">
            <w:pPr>
              <w:pStyle w:val="ListParagraph"/>
              <w:spacing w:line="276" w:lineRule="auto"/>
              <w:ind w:left="0" w:right="-432"/>
            </w:pPr>
            <w:r>
              <w:t>12.05</w:t>
            </w:r>
          </w:p>
        </w:tc>
        <w:tc>
          <w:tcPr>
            <w:tcW w:w="1870" w:type="dxa"/>
          </w:tcPr>
          <w:p w14:paraId="0D438B69" w14:textId="35F2B84B" w:rsidR="00753E79" w:rsidRDefault="00753E79" w:rsidP="009348BE">
            <w:pPr>
              <w:pStyle w:val="ListParagraph"/>
              <w:spacing w:line="276" w:lineRule="auto"/>
              <w:ind w:left="0" w:right="-432"/>
            </w:pPr>
            <w:r>
              <w:t>3.00</w:t>
            </w:r>
          </w:p>
        </w:tc>
        <w:tc>
          <w:tcPr>
            <w:tcW w:w="1852" w:type="dxa"/>
          </w:tcPr>
          <w:p w14:paraId="7347E028" w14:textId="2966BB0A" w:rsidR="00753E79" w:rsidRDefault="00753E79" w:rsidP="009348BE">
            <w:pPr>
              <w:pStyle w:val="ListParagraph"/>
              <w:spacing w:line="276" w:lineRule="auto"/>
              <w:ind w:left="0" w:right="-432"/>
            </w:pPr>
            <w:r>
              <w:t>36.15</w:t>
            </w:r>
          </w:p>
        </w:tc>
      </w:tr>
    </w:tbl>
    <w:p w14:paraId="48AEE7D1" w14:textId="77777777" w:rsidR="003606B7" w:rsidRDefault="003606B7" w:rsidP="009348BE">
      <w:pPr>
        <w:ind w:right="-432"/>
      </w:pPr>
    </w:p>
    <w:p w14:paraId="65223E0E" w14:textId="5D633DA5" w:rsidR="00046D87" w:rsidRDefault="00046D87" w:rsidP="009348BE">
      <w:pPr>
        <w:ind w:right="-432"/>
      </w:pPr>
      <w:r>
        <w:t>Example 4: 2014 Canada Cup of Curling</w:t>
      </w:r>
      <w:r w:rsidR="000F77D4">
        <w:t xml:space="preserve"> Men’s</w:t>
      </w:r>
      <w:r>
        <w:t>: SFM: 2.81- (2.81/7)*24 = 9.634 (no max.)*(0.7 # multiplier)*(1.25 purse multiplier)*(1.35 importance factor) = 11.18</w:t>
      </w:r>
    </w:p>
    <w:p w14:paraId="58338D99" w14:textId="77777777" w:rsidR="00046D87" w:rsidRDefault="00046D87" w:rsidP="009348BE">
      <w:pPr>
        <w:ind w:right="-432"/>
      </w:pPr>
    </w:p>
    <w:tbl>
      <w:tblPr>
        <w:tblStyle w:val="TableGrid"/>
        <w:tblW w:w="0" w:type="auto"/>
        <w:jc w:val="center"/>
        <w:tblInd w:w="1440" w:type="dxa"/>
        <w:tblLook w:val="04A0" w:firstRow="1" w:lastRow="0" w:firstColumn="1" w:lastColumn="0" w:noHBand="0" w:noVBand="1"/>
      </w:tblPr>
      <w:tblGrid>
        <w:gridCol w:w="1842"/>
        <w:gridCol w:w="1852"/>
        <w:gridCol w:w="1870"/>
        <w:gridCol w:w="1852"/>
      </w:tblGrid>
      <w:tr w:rsidR="00046D87" w14:paraId="7F535397" w14:textId="77777777" w:rsidTr="00046D87">
        <w:trPr>
          <w:jc w:val="center"/>
        </w:trPr>
        <w:tc>
          <w:tcPr>
            <w:tcW w:w="1842" w:type="dxa"/>
          </w:tcPr>
          <w:p w14:paraId="4D972E99" w14:textId="77777777" w:rsidR="00046D87" w:rsidRPr="00753E79" w:rsidRDefault="00046D87" w:rsidP="009348BE">
            <w:pPr>
              <w:pStyle w:val="ListParagraph"/>
              <w:spacing w:line="276" w:lineRule="auto"/>
              <w:ind w:left="0" w:right="-432"/>
              <w:rPr>
                <w:b/>
              </w:rPr>
            </w:pPr>
            <w:r w:rsidRPr="00753E79">
              <w:rPr>
                <w:b/>
              </w:rPr>
              <w:t>Place</w:t>
            </w:r>
          </w:p>
        </w:tc>
        <w:tc>
          <w:tcPr>
            <w:tcW w:w="1852" w:type="dxa"/>
          </w:tcPr>
          <w:p w14:paraId="3BE38524" w14:textId="77777777" w:rsidR="00046D87" w:rsidRPr="00753E79" w:rsidRDefault="00046D87" w:rsidP="009348BE">
            <w:pPr>
              <w:pStyle w:val="ListParagraph"/>
              <w:spacing w:line="276" w:lineRule="auto"/>
              <w:ind w:left="0" w:right="-432"/>
              <w:rPr>
                <w:b/>
              </w:rPr>
            </w:pPr>
            <w:r w:rsidRPr="00753E79">
              <w:rPr>
                <w:b/>
              </w:rPr>
              <w:t>SFM</w:t>
            </w:r>
          </w:p>
        </w:tc>
        <w:tc>
          <w:tcPr>
            <w:tcW w:w="1870" w:type="dxa"/>
          </w:tcPr>
          <w:p w14:paraId="22777C96" w14:textId="77777777" w:rsidR="00046D87" w:rsidRPr="00753E79" w:rsidRDefault="00046D87" w:rsidP="009348BE">
            <w:pPr>
              <w:pStyle w:val="ListParagraph"/>
              <w:spacing w:line="276" w:lineRule="auto"/>
              <w:ind w:left="0" w:right="-432"/>
              <w:rPr>
                <w:b/>
              </w:rPr>
            </w:pPr>
            <w:r w:rsidRPr="00753E79">
              <w:rPr>
                <w:b/>
              </w:rPr>
              <w:t>Base Points</w:t>
            </w:r>
          </w:p>
        </w:tc>
        <w:tc>
          <w:tcPr>
            <w:tcW w:w="1852" w:type="dxa"/>
          </w:tcPr>
          <w:p w14:paraId="5CF35D68" w14:textId="77777777" w:rsidR="00046D87" w:rsidRPr="00753E79" w:rsidRDefault="00046D87" w:rsidP="009348BE">
            <w:pPr>
              <w:pStyle w:val="ListParagraph"/>
              <w:spacing w:line="276" w:lineRule="auto"/>
              <w:ind w:left="0" w:right="-432"/>
              <w:rPr>
                <w:b/>
              </w:rPr>
            </w:pPr>
            <w:r w:rsidRPr="00753E79">
              <w:rPr>
                <w:b/>
              </w:rPr>
              <w:t>Total</w:t>
            </w:r>
          </w:p>
        </w:tc>
      </w:tr>
      <w:tr w:rsidR="00753E79" w14:paraId="0C74DAEE" w14:textId="77777777" w:rsidTr="00046D87">
        <w:trPr>
          <w:jc w:val="center"/>
        </w:trPr>
        <w:tc>
          <w:tcPr>
            <w:tcW w:w="1842" w:type="dxa"/>
          </w:tcPr>
          <w:p w14:paraId="3ABACEE0" w14:textId="77777777" w:rsidR="00753E79" w:rsidRDefault="00753E79" w:rsidP="009348BE">
            <w:pPr>
              <w:pStyle w:val="ListParagraph"/>
              <w:spacing w:line="276" w:lineRule="auto"/>
              <w:ind w:left="0" w:right="-432"/>
            </w:pPr>
            <w:r>
              <w:t>1</w:t>
            </w:r>
            <w:r w:rsidRPr="009A2D44">
              <w:rPr>
                <w:vertAlign w:val="superscript"/>
              </w:rPr>
              <w:t>st</w:t>
            </w:r>
            <w:r>
              <w:t xml:space="preserve"> </w:t>
            </w:r>
          </w:p>
        </w:tc>
        <w:tc>
          <w:tcPr>
            <w:tcW w:w="1852" w:type="dxa"/>
          </w:tcPr>
          <w:p w14:paraId="2B9F4D81" w14:textId="47190F48" w:rsidR="00753E79" w:rsidRDefault="00753E79" w:rsidP="009348BE">
            <w:pPr>
              <w:pStyle w:val="ListParagraph"/>
              <w:spacing w:line="276" w:lineRule="auto"/>
              <w:ind w:left="0" w:right="-432"/>
            </w:pPr>
            <w:r>
              <w:t>11.18</w:t>
            </w:r>
          </w:p>
        </w:tc>
        <w:tc>
          <w:tcPr>
            <w:tcW w:w="1870" w:type="dxa"/>
          </w:tcPr>
          <w:p w14:paraId="196D1772" w14:textId="67EE0779" w:rsidR="00753E79" w:rsidRDefault="00753E79" w:rsidP="009348BE">
            <w:pPr>
              <w:pStyle w:val="ListParagraph"/>
              <w:spacing w:line="276" w:lineRule="auto"/>
              <w:ind w:left="0" w:right="-432"/>
            </w:pPr>
            <w:r>
              <w:t>7.00</w:t>
            </w:r>
          </w:p>
        </w:tc>
        <w:tc>
          <w:tcPr>
            <w:tcW w:w="1852" w:type="dxa"/>
          </w:tcPr>
          <w:p w14:paraId="09293221" w14:textId="342D33A0" w:rsidR="00753E79" w:rsidRDefault="00753E79" w:rsidP="009348BE">
            <w:pPr>
              <w:pStyle w:val="ListParagraph"/>
              <w:spacing w:line="276" w:lineRule="auto"/>
              <w:ind w:left="0" w:right="-432"/>
            </w:pPr>
            <w:r>
              <w:t>78.26</w:t>
            </w:r>
          </w:p>
        </w:tc>
      </w:tr>
      <w:tr w:rsidR="00753E79" w14:paraId="09683AA5" w14:textId="77777777" w:rsidTr="00046D87">
        <w:trPr>
          <w:jc w:val="center"/>
        </w:trPr>
        <w:tc>
          <w:tcPr>
            <w:tcW w:w="1842" w:type="dxa"/>
          </w:tcPr>
          <w:p w14:paraId="79FFA61D" w14:textId="77777777" w:rsidR="00753E79" w:rsidRDefault="00753E79" w:rsidP="009348BE">
            <w:pPr>
              <w:pStyle w:val="ListParagraph"/>
              <w:spacing w:line="276" w:lineRule="auto"/>
              <w:ind w:left="0" w:right="-432"/>
            </w:pPr>
            <w:r>
              <w:t>2</w:t>
            </w:r>
            <w:r w:rsidRPr="009A2D44">
              <w:rPr>
                <w:vertAlign w:val="superscript"/>
              </w:rPr>
              <w:t>nd</w:t>
            </w:r>
            <w:r>
              <w:t xml:space="preserve"> </w:t>
            </w:r>
          </w:p>
        </w:tc>
        <w:tc>
          <w:tcPr>
            <w:tcW w:w="1852" w:type="dxa"/>
          </w:tcPr>
          <w:p w14:paraId="5F949594" w14:textId="61FD78A5" w:rsidR="00753E79" w:rsidRDefault="00753E79" w:rsidP="009348BE">
            <w:pPr>
              <w:pStyle w:val="ListParagraph"/>
              <w:spacing w:line="276" w:lineRule="auto"/>
              <w:ind w:left="0" w:right="-432"/>
            </w:pPr>
            <w:r>
              <w:t>11.18</w:t>
            </w:r>
          </w:p>
        </w:tc>
        <w:tc>
          <w:tcPr>
            <w:tcW w:w="1870" w:type="dxa"/>
          </w:tcPr>
          <w:p w14:paraId="623B3019" w14:textId="214C1D47" w:rsidR="00753E79" w:rsidRDefault="00753E79" w:rsidP="009348BE">
            <w:pPr>
              <w:pStyle w:val="ListParagraph"/>
              <w:spacing w:line="276" w:lineRule="auto"/>
              <w:ind w:left="0" w:right="-432"/>
            </w:pPr>
            <w:r>
              <w:t>5.50</w:t>
            </w:r>
          </w:p>
        </w:tc>
        <w:tc>
          <w:tcPr>
            <w:tcW w:w="1852" w:type="dxa"/>
          </w:tcPr>
          <w:p w14:paraId="13B1070D" w14:textId="0F5854F4" w:rsidR="00753E79" w:rsidRDefault="00753E79" w:rsidP="009348BE">
            <w:pPr>
              <w:pStyle w:val="ListParagraph"/>
              <w:spacing w:line="276" w:lineRule="auto"/>
              <w:ind w:left="0" w:right="-432"/>
            </w:pPr>
            <w:r>
              <w:t>61.49</w:t>
            </w:r>
          </w:p>
        </w:tc>
      </w:tr>
      <w:tr w:rsidR="00753E79" w14:paraId="0B384D7A" w14:textId="77777777" w:rsidTr="00046D87">
        <w:trPr>
          <w:jc w:val="center"/>
        </w:trPr>
        <w:tc>
          <w:tcPr>
            <w:tcW w:w="1842" w:type="dxa"/>
          </w:tcPr>
          <w:p w14:paraId="7E9E72E7" w14:textId="501149A7" w:rsidR="00753E79" w:rsidRDefault="00753E79" w:rsidP="009348BE">
            <w:pPr>
              <w:pStyle w:val="ListParagraph"/>
              <w:spacing w:line="276" w:lineRule="auto"/>
              <w:ind w:left="0" w:right="-432"/>
            </w:pPr>
            <w:r>
              <w:t>3</w:t>
            </w:r>
            <w:r w:rsidRPr="00046D87">
              <w:rPr>
                <w:vertAlign w:val="superscript"/>
              </w:rPr>
              <w:t>rd</w:t>
            </w:r>
          </w:p>
        </w:tc>
        <w:tc>
          <w:tcPr>
            <w:tcW w:w="1852" w:type="dxa"/>
          </w:tcPr>
          <w:p w14:paraId="1FAAF325" w14:textId="115941A9" w:rsidR="00753E79" w:rsidRDefault="00753E79" w:rsidP="009348BE">
            <w:pPr>
              <w:pStyle w:val="ListParagraph"/>
              <w:spacing w:line="276" w:lineRule="auto"/>
              <w:ind w:left="0" w:right="-432"/>
            </w:pPr>
            <w:r>
              <w:t>11.18</w:t>
            </w:r>
          </w:p>
        </w:tc>
        <w:tc>
          <w:tcPr>
            <w:tcW w:w="1870" w:type="dxa"/>
          </w:tcPr>
          <w:p w14:paraId="7C3E8337" w14:textId="64CF6FE8" w:rsidR="00753E79" w:rsidRDefault="00753E79" w:rsidP="009348BE">
            <w:pPr>
              <w:pStyle w:val="ListParagraph"/>
              <w:spacing w:line="276" w:lineRule="auto"/>
              <w:ind w:left="0" w:right="-432"/>
            </w:pPr>
            <w:r>
              <w:t>4.25</w:t>
            </w:r>
          </w:p>
        </w:tc>
        <w:tc>
          <w:tcPr>
            <w:tcW w:w="1852" w:type="dxa"/>
          </w:tcPr>
          <w:p w14:paraId="053CDEB4" w14:textId="1ADDF8CC" w:rsidR="00753E79" w:rsidRDefault="00753E79" w:rsidP="009348BE">
            <w:pPr>
              <w:pStyle w:val="ListParagraph"/>
              <w:spacing w:line="276" w:lineRule="auto"/>
              <w:ind w:left="0" w:right="-432"/>
            </w:pPr>
            <w:r>
              <w:t>47.52</w:t>
            </w:r>
          </w:p>
        </w:tc>
      </w:tr>
    </w:tbl>
    <w:p w14:paraId="4CCC1D91" w14:textId="025882C1" w:rsidR="00046D87" w:rsidRDefault="00046D87" w:rsidP="009348BE">
      <w:pPr>
        <w:ind w:right="-432"/>
      </w:pPr>
      <w:r>
        <w:t>* Since this event had 7 teams it was only eligible to count the top 3 for CTRS/OOM.</w:t>
      </w:r>
    </w:p>
    <w:p w14:paraId="189CD745" w14:textId="77777777" w:rsidR="00046D87" w:rsidRDefault="00046D87" w:rsidP="009348BE">
      <w:pPr>
        <w:ind w:right="-432"/>
      </w:pPr>
    </w:p>
    <w:p w14:paraId="0504FF10" w14:textId="77777777" w:rsidR="00753E79" w:rsidRDefault="00753E79" w:rsidP="009348BE">
      <w:pPr>
        <w:ind w:right="-432"/>
      </w:pPr>
    </w:p>
    <w:p w14:paraId="29AEBF2A" w14:textId="0676870D" w:rsidR="00046D87" w:rsidRDefault="00046D87" w:rsidP="009348BE">
      <w:pPr>
        <w:ind w:right="-432"/>
      </w:pPr>
      <w:r>
        <w:t>Example 5: 2015 AB Men</w:t>
      </w:r>
      <w:r w:rsidR="00EB5FD4">
        <w:t>’</w:t>
      </w:r>
      <w:r>
        <w:t>s Provincial Championship: SFM: 1.96 - (1.96/12)*24 = 3.92*(0.875 # multiplier)*(1.0 - no purse multiplier)*(1.0 - no importance factor) = 3.43</w:t>
      </w:r>
    </w:p>
    <w:p w14:paraId="5762A703" w14:textId="77777777" w:rsidR="00046D87" w:rsidRDefault="00046D87" w:rsidP="009348BE">
      <w:pPr>
        <w:ind w:right="-432"/>
      </w:pPr>
    </w:p>
    <w:tbl>
      <w:tblPr>
        <w:tblStyle w:val="TableGrid"/>
        <w:tblW w:w="0" w:type="auto"/>
        <w:jc w:val="center"/>
        <w:tblInd w:w="1440" w:type="dxa"/>
        <w:tblLook w:val="04A0" w:firstRow="1" w:lastRow="0" w:firstColumn="1" w:lastColumn="0" w:noHBand="0" w:noVBand="1"/>
      </w:tblPr>
      <w:tblGrid>
        <w:gridCol w:w="1842"/>
        <w:gridCol w:w="1852"/>
        <w:gridCol w:w="1870"/>
        <w:gridCol w:w="1852"/>
      </w:tblGrid>
      <w:tr w:rsidR="00046D87" w14:paraId="3FDFC763" w14:textId="77777777" w:rsidTr="00046D87">
        <w:trPr>
          <w:jc w:val="center"/>
        </w:trPr>
        <w:tc>
          <w:tcPr>
            <w:tcW w:w="1842" w:type="dxa"/>
          </w:tcPr>
          <w:p w14:paraId="7218E21F" w14:textId="77777777" w:rsidR="00046D87" w:rsidRPr="00753E79" w:rsidRDefault="00046D87" w:rsidP="009348BE">
            <w:pPr>
              <w:pStyle w:val="ListParagraph"/>
              <w:spacing w:line="276" w:lineRule="auto"/>
              <w:ind w:left="0" w:right="-432"/>
              <w:rPr>
                <w:b/>
              </w:rPr>
            </w:pPr>
            <w:r w:rsidRPr="00753E79">
              <w:rPr>
                <w:b/>
              </w:rPr>
              <w:t>Place</w:t>
            </w:r>
          </w:p>
        </w:tc>
        <w:tc>
          <w:tcPr>
            <w:tcW w:w="1852" w:type="dxa"/>
          </w:tcPr>
          <w:p w14:paraId="3FA7C41C" w14:textId="77777777" w:rsidR="00046D87" w:rsidRPr="00753E79" w:rsidRDefault="00046D87" w:rsidP="009348BE">
            <w:pPr>
              <w:pStyle w:val="ListParagraph"/>
              <w:spacing w:line="276" w:lineRule="auto"/>
              <w:ind w:left="0" w:right="-432"/>
              <w:rPr>
                <w:b/>
              </w:rPr>
            </w:pPr>
            <w:r w:rsidRPr="00753E79">
              <w:rPr>
                <w:b/>
              </w:rPr>
              <w:t>SFM</w:t>
            </w:r>
          </w:p>
        </w:tc>
        <w:tc>
          <w:tcPr>
            <w:tcW w:w="1870" w:type="dxa"/>
          </w:tcPr>
          <w:p w14:paraId="221B41F6" w14:textId="77777777" w:rsidR="00046D87" w:rsidRPr="00753E79" w:rsidRDefault="00046D87" w:rsidP="009348BE">
            <w:pPr>
              <w:pStyle w:val="ListParagraph"/>
              <w:spacing w:line="276" w:lineRule="auto"/>
              <w:ind w:left="0" w:right="-432"/>
              <w:rPr>
                <w:b/>
              </w:rPr>
            </w:pPr>
            <w:r w:rsidRPr="00753E79">
              <w:rPr>
                <w:b/>
              </w:rPr>
              <w:t>Base Points</w:t>
            </w:r>
          </w:p>
        </w:tc>
        <w:tc>
          <w:tcPr>
            <w:tcW w:w="1852" w:type="dxa"/>
          </w:tcPr>
          <w:p w14:paraId="0ABE4167" w14:textId="77777777" w:rsidR="00046D87" w:rsidRPr="00753E79" w:rsidRDefault="00046D87" w:rsidP="009348BE">
            <w:pPr>
              <w:pStyle w:val="ListParagraph"/>
              <w:spacing w:line="276" w:lineRule="auto"/>
              <w:ind w:left="0" w:right="-432"/>
              <w:rPr>
                <w:b/>
              </w:rPr>
            </w:pPr>
            <w:r w:rsidRPr="00753E79">
              <w:rPr>
                <w:b/>
              </w:rPr>
              <w:t>Total</w:t>
            </w:r>
          </w:p>
        </w:tc>
      </w:tr>
      <w:tr w:rsidR="00753E79" w14:paraId="2B04EAA7" w14:textId="77777777" w:rsidTr="00046D87">
        <w:trPr>
          <w:jc w:val="center"/>
        </w:trPr>
        <w:tc>
          <w:tcPr>
            <w:tcW w:w="1842" w:type="dxa"/>
          </w:tcPr>
          <w:p w14:paraId="06F0F8EF" w14:textId="77777777" w:rsidR="00753E79" w:rsidRDefault="00753E79" w:rsidP="009348BE">
            <w:pPr>
              <w:pStyle w:val="ListParagraph"/>
              <w:spacing w:line="276" w:lineRule="auto"/>
              <w:ind w:left="0" w:right="-432"/>
            </w:pPr>
            <w:r>
              <w:t>1</w:t>
            </w:r>
            <w:r w:rsidRPr="009A2D44">
              <w:rPr>
                <w:vertAlign w:val="superscript"/>
              </w:rPr>
              <w:t>st</w:t>
            </w:r>
            <w:r>
              <w:t xml:space="preserve"> </w:t>
            </w:r>
          </w:p>
        </w:tc>
        <w:tc>
          <w:tcPr>
            <w:tcW w:w="1852" w:type="dxa"/>
          </w:tcPr>
          <w:p w14:paraId="658AA5BD" w14:textId="72C26574" w:rsidR="00753E79" w:rsidRDefault="00753E79" w:rsidP="009348BE">
            <w:pPr>
              <w:pStyle w:val="ListParagraph"/>
              <w:spacing w:line="276" w:lineRule="auto"/>
              <w:ind w:left="0" w:right="-432"/>
            </w:pPr>
            <w:r>
              <w:t>3.43</w:t>
            </w:r>
          </w:p>
        </w:tc>
        <w:tc>
          <w:tcPr>
            <w:tcW w:w="1870" w:type="dxa"/>
          </w:tcPr>
          <w:p w14:paraId="1305375A" w14:textId="0C19F221" w:rsidR="00753E79" w:rsidRDefault="00753E79" w:rsidP="009348BE">
            <w:pPr>
              <w:pStyle w:val="ListParagraph"/>
              <w:spacing w:line="276" w:lineRule="auto"/>
              <w:ind w:left="0" w:right="-432"/>
            </w:pPr>
            <w:r>
              <w:t>7.00</w:t>
            </w:r>
          </w:p>
        </w:tc>
        <w:tc>
          <w:tcPr>
            <w:tcW w:w="1852" w:type="dxa"/>
          </w:tcPr>
          <w:p w14:paraId="4A293C8E" w14:textId="6B151B08" w:rsidR="00753E79" w:rsidRDefault="00753E79" w:rsidP="009348BE">
            <w:pPr>
              <w:pStyle w:val="ListParagraph"/>
              <w:spacing w:line="276" w:lineRule="auto"/>
              <w:ind w:left="0" w:right="-432"/>
            </w:pPr>
            <w:r>
              <w:t>24.01</w:t>
            </w:r>
          </w:p>
        </w:tc>
      </w:tr>
      <w:tr w:rsidR="00753E79" w14:paraId="65962360" w14:textId="77777777" w:rsidTr="00046D87">
        <w:trPr>
          <w:jc w:val="center"/>
        </w:trPr>
        <w:tc>
          <w:tcPr>
            <w:tcW w:w="1842" w:type="dxa"/>
          </w:tcPr>
          <w:p w14:paraId="76AAE50D" w14:textId="77777777" w:rsidR="00753E79" w:rsidRDefault="00753E79" w:rsidP="009348BE">
            <w:pPr>
              <w:pStyle w:val="ListParagraph"/>
              <w:spacing w:line="276" w:lineRule="auto"/>
              <w:ind w:left="0" w:right="-432"/>
            </w:pPr>
            <w:r>
              <w:t>2</w:t>
            </w:r>
            <w:r w:rsidRPr="009A2D44">
              <w:rPr>
                <w:vertAlign w:val="superscript"/>
              </w:rPr>
              <w:t>nd</w:t>
            </w:r>
            <w:r>
              <w:t xml:space="preserve"> </w:t>
            </w:r>
          </w:p>
        </w:tc>
        <w:tc>
          <w:tcPr>
            <w:tcW w:w="1852" w:type="dxa"/>
          </w:tcPr>
          <w:p w14:paraId="15222281" w14:textId="4B76D157" w:rsidR="00753E79" w:rsidRDefault="00753E79" w:rsidP="009348BE">
            <w:pPr>
              <w:pStyle w:val="ListParagraph"/>
              <w:spacing w:line="276" w:lineRule="auto"/>
              <w:ind w:left="0" w:right="-432"/>
            </w:pPr>
            <w:r>
              <w:t>3.43</w:t>
            </w:r>
          </w:p>
        </w:tc>
        <w:tc>
          <w:tcPr>
            <w:tcW w:w="1870" w:type="dxa"/>
          </w:tcPr>
          <w:p w14:paraId="59926F3A" w14:textId="43904B1A" w:rsidR="00753E79" w:rsidRDefault="00753E79" w:rsidP="009348BE">
            <w:pPr>
              <w:pStyle w:val="ListParagraph"/>
              <w:spacing w:line="276" w:lineRule="auto"/>
              <w:ind w:left="0" w:right="-432"/>
            </w:pPr>
            <w:r>
              <w:t>5.50</w:t>
            </w:r>
          </w:p>
        </w:tc>
        <w:tc>
          <w:tcPr>
            <w:tcW w:w="1852" w:type="dxa"/>
          </w:tcPr>
          <w:p w14:paraId="61C1DF08" w14:textId="752E71DE" w:rsidR="00753E79" w:rsidRDefault="00753E79" w:rsidP="009348BE">
            <w:pPr>
              <w:pStyle w:val="ListParagraph"/>
              <w:spacing w:line="276" w:lineRule="auto"/>
              <w:ind w:left="0" w:right="-432"/>
            </w:pPr>
            <w:r>
              <w:t>18.87</w:t>
            </w:r>
          </w:p>
        </w:tc>
      </w:tr>
      <w:tr w:rsidR="00753E79" w14:paraId="68534650" w14:textId="77777777" w:rsidTr="00046D87">
        <w:trPr>
          <w:jc w:val="center"/>
        </w:trPr>
        <w:tc>
          <w:tcPr>
            <w:tcW w:w="1842" w:type="dxa"/>
          </w:tcPr>
          <w:p w14:paraId="4BD8022D" w14:textId="16182006" w:rsidR="00753E79" w:rsidRDefault="00753E79" w:rsidP="009348BE">
            <w:pPr>
              <w:pStyle w:val="ListParagraph"/>
              <w:spacing w:line="276" w:lineRule="auto"/>
              <w:ind w:left="0" w:right="-432"/>
            </w:pPr>
            <w:r>
              <w:t>3</w:t>
            </w:r>
            <w:r w:rsidRPr="00EB5FD4">
              <w:rPr>
                <w:vertAlign w:val="superscript"/>
              </w:rPr>
              <w:t>rd</w:t>
            </w:r>
          </w:p>
        </w:tc>
        <w:tc>
          <w:tcPr>
            <w:tcW w:w="1852" w:type="dxa"/>
          </w:tcPr>
          <w:p w14:paraId="38D84C31" w14:textId="32447D4B" w:rsidR="00753E79" w:rsidRDefault="00753E79" w:rsidP="009348BE">
            <w:pPr>
              <w:pStyle w:val="ListParagraph"/>
              <w:spacing w:line="276" w:lineRule="auto"/>
              <w:ind w:left="0" w:right="-432"/>
            </w:pPr>
            <w:r>
              <w:t>3.43</w:t>
            </w:r>
          </w:p>
        </w:tc>
        <w:tc>
          <w:tcPr>
            <w:tcW w:w="1870" w:type="dxa"/>
          </w:tcPr>
          <w:p w14:paraId="5CEFD774" w14:textId="76C655F4" w:rsidR="00753E79" w:rsidRDefault="00753E79" w:rsidP="009348BE">
            <w:pPr>
              <w:pStyle w:val="ListParagraph"/>
              <w:spacing w:line="276" w:lineRule="auto"/>
              <w:ind w:left="0" w:right="-432"/>
            </w:pPr>
            <w:r>
              <w:t>4.25</w:t>
            </w:r>
          </w:p>
        </w:tc>
        <w:tc>
          <w:tcPr>
            <w:tcW w:w="1852" w:type="dxa"/>
          </w:tcPr>
          <w:p w14:paraId="78296D4E" w14:textId="721E550C" w:rsidR="00753E79" w:rsidRDefault="00753E79" w:rsidP="009348BE">
            <w:pPr>
              <w:pStyle w:val="ListParagraph"/>
              <w:spacing w:line="276" w:lineRule="auto"/>
              <w:ind w:left="0" w:right="-432"/>
            </w:pPr>
            <w:r>
              <w:t>14.58</w:t>
            </w:r>
          </w:p>
        </w:tc>
      </w:tr>
      <w:tr w:rsidR="00046D87" w14:paraId="791724C8" w14:textId="77777777" w:rsidTr="00046D87">
        <w:trPr>
          <w:jc w:val="center"/>
        </w:trPr>
        <w:tc>
          <w:tcPr>
            <w:tcW w:w="1842" w:type="dxa"/>
          </w:tcPr>
          <w:p w14:paraId="5DBD6A5D" w14:textId="5574A262" w:rsidR="00046D87" w:rsidRDefault="00EB5FD4" w:rsidP="009348BE">
            <w:pPr>
              <w:pStyle w:val="ListParagraph"/>
              <w:spacing w:line="276" w:lineRule="auto"/>
              <w:ind w:left="0" w:right="-432"/>
            </w:pPr>
            <w:r>
              <w:t>4</w:t>
            </w:r>
            <w:r w:rsidRPr="00EB5FD4">
              <w:rPr>
                <w:vertAlign w:val="superscript"/>
              </w:rPr>
              <w:t>th</w:t>
            </w:r>
            <w:r w:rsidR="00046D87">
              <w:t xml:space="preserve"> </w:t>
            </w:r>
          </w:p>
        </w:tc>
        <w:tc>
          <w:tcPr>
            <w:tcW w:w="1852" w:type="dxa"/>
          </w:tcPr>
          <w:p w14:paraId="46A662ED" w14:textId="521E5418" w:rsidR="00046D87" w:rsidRDefault="00EB5FD4" w:rsidP="009348BE">
            <w:pPr>
              <w:pStyle w:val="ListParagraph"/>
              <w:spacing w:line="276" w:lineRule="auto"/>
              <w:ind w:left="0" w:right="-432"/>
            </w:pPr>
            <w:r>
              <w:t>3.43</w:t>
            </w:r>
          </w:p>
        </w:tc>
        <w:tc>
          <w:tcPr>
            <w:tcW w:w="1870" w:type="dxa"/>
          </w:tcPr>
          <w:p w14:paraId="782E0293" w14:textId="31DC6BC6" w:rsidR="00046D87" w:rsidRDefault="00046D87" w:rsidP="009348BE">
            <w:pPr>
              <w:pStyle w:val="ListParagraph"/>
              <w:spacing w:line="276" w:lineRule="auto"/>
              <w:ind w:left="0" w:right="-432"/>
            </w:pPr>
            <w:r>
              <w:t>3</w:t>
            </w:r>
            <w:r w:rsidR="00753E79">
              <w:t>.00</w:t>
            </w:r>
          </w:p>
        </w:tc>
        <w:tc>
          <w:tcPr>
            <w:tcW w:w="1852" w:type="dxa"/>
          </w:tcPr>
          <w:p w14:paraId="1825B17F" w14:textId="78DC4C50" w:rsidR="00046D87" w:rsidRDefault="00EB5FD4" w:rsidP="009348BE">
            <w:pPr>
              <w:pStyle w:val="ListParagraph"/>
              <w:spacing w:line="276" w:lineRule="auto"/>
              <w:ind w:left="0" w:right="-432"/>
            </w:pPr>
            <w:r>
              <w:t>10.29</w:t>
            </w:r>
          </w:p>
        </w:tc>
      </w:tr>
    </w:tbl>
    <w:p w14:paraId="7EADF18E" w14:textId="77777777" w:rsidR="00046D87" w:rsidRDefault="00046D87" w:rsidP="009348BE">
      <w:pPr>
        <w:ind w:right="-432"/>
      </w:pPr>
    </w:p>
    <w:p w14:paraId="36688FAD" w14:textId="29527151" w:rsidR="00EB5FD4" w:rsidRDefault="00EB5FD4" w:rsidP="009348BE">
      <w:pPr>
        <w:ind w:right="-432"/>
      </w:pPr>
      <w:r>
        <w:t>Example 6: 2014 Olympics (Women): SFM: 3.34 - (3.34/10)*24 = 8.02*(0.8125 # multiplier)*(1.0 - no purse multiplier)*(2.0 importance factor) = 13.03</w:t>
      </w:r>
    </w:p>
    <w:p w14:paraId="7DE02191" w14:textId="77777777" w:rsidR="00EB5FD4" w:rsidRDefault="00EB5FD4" w:rsidP="009348BE">
      <w:pPr>
        <w:ind w:right="-432"/>
      </w:pPr>
    </w:p>
    <w:tbl>
      <w:tblPr>
        <w:tblStyle w:val="TableGrid"/>
        <w:tblW w:w="0" w:type="auto"/>
        <w:jc w:val="center"/>
        <w:tblInd w:w="1440" w:type="dxa"/>
        <w:tblLook w:val="04A0" w:firstRow="1" w:lastRow="0" w:firstColumn="1" w:lastColumn="0" w:noHBand="0" w:noVBand="1"/>
      </w:tblPr>
      <w:tblGrid>
        <w:gridCol w:w="1842"/>
        <w:gridCol w:w="1852"/>
        <w:gridCol w:w="1870"/>
        <w:gridCol w:w="1852"/>
      </w:tblGrid>
      <w:tr w:rsidR="00EB5FD4" w14:paraId="42B2E15B" w14:textId="77777777" w:rsidTr="00EB5FD4">
        <w:trPr>
          <w:jc w:val="center"/>
        </w:trPr>
        <w:tc>
          <w:tcPr>
            <w:tcW w:w="1842" w:type="dxa"/>
          </w:tcPr>
          <w:p w14:paraId="08E1D9F5" w14:textId="77777777" w:rsidR="00EB5FD4" w:rsidRPr="00753E79" w:rsidRDefault="00EB5FD4" w:rsidP="009348BE">
            <w:pPr>
              <w:pStyle w:val="ListParagraph"/>
              <w:spacing w:line="276" w:lineRule="auto"/>
              <w:ind w:left="0" w:right="-432"/>
              <w:rPr>
                <w:b/>
              </w:rPr>
            </w:pPr>
            <w:r w:rsidRPr="00753E79">
              <w:rPr>
                <w:b/>
              </w:rPr>
              <w:t>Place</w:t>
            </w:r>
          </w:p>
        </w:tc>
        <w:tc>
          <w:tcPr>
            <w:tcW w:w="1852" w:type="dxa"/>
          </w:tcPr>
          <w:p w14:paraId="5B733F8E" w14:textId="77777777" w:rsidR="00EB5FD4" w:rsidRPr="00753E79" w:rsidRDefault="00EB5FD4" w:rsidP="009348BE">
            <w:pPr>
              <w:pStyle w:val="ListParagraph"/>
              <w:spacing w:line="276" w:lineRule="auto"/>
              <w:ind w:left="0" w:right="-432"/>
              <w:rPr>
                <w:b/>
              </w:rPr>
            </w:pPr>
            <w:r w:rsidRPr="00753E79">
              <w:rPr>
                <w:b/>
              </w:rPr>
              <w:t>SFM</w:t>
            </w:r>
          </w:p>
        </w:tc>
        <w:tc>
          <w:tcPr>
            <w:tcW w:w="1870" w:type="dxa"/>
          </w:tcPr>
          <w:p w14:paraId="6F5A0339" w14:textId="77777777" w:rsidR="00EB5FD4" w:rsidRPr="00753E79" w:rsidRDefault="00EB5FD4" w:rsidP="009348BE">
            <w:pPr>
              <w:pStyle w:val="ListParagraph"/>
              <w:spacing w:line="276" w:lineRule="auto"/>
              <w:ind w:left="0" w:right="-432"/>
              <w:rPr>
                <w:b/>
              </w:rPr>
            </w:pPr>
            <w:r w:rsidRPr="00753E79">
              <w:rPr>
                <w:b/>
              </w:rPr>
              <w:t>Base Points</w:t>
            </w:r>
          </w:p>
        </w:tc>
        <w:tc>
          <w:tcPr>
            <w:tcW w:w="1852" w:type="dxa"/>
          </w:tcPr>
          <w:p w14:paraId="6B3A9D56" w14:textId="77777777" w:rsidR="00EB5FD4" w:rsidRPr="00753E79" w:rsidRDefault="00EB5FD4" w:rsidP="009348BE">
            <w:pPr>
              <w:pStyle w:val="ListParagraph"/>
              <w:spacing w:line="276" w:lineRule="auto"/>
              <w:ind w:left="0" w:right="-432"/>
              <w:rPr>
                <w:b/>
              </w:rPr>
            </w:pPr>
            <w:r w:rsidRPr="00753E79">
              <w:rPr>
                <w:b/>
              </w:rPr>
              <w:t>Total</w:t>
            </w:r>
          </w:p>
        </w:tc>
      </w:tr>
      <w:tr w:rsidR="00753E79" w14:paraId="55A2BBC2" w14:textId="77777777" w:rsidTr="00EB5FD4">
        <w:trPr>
          <w:jc w:val="center"/>
        </w:trPr>
        <w:tc>
          <w:tcPr>
            <w:tcW w:w="1842" w:type="dxa"/>
          </w:tcPr>
          <w:p w14:paraId="637C364D" w14:textId="77777777" w:rsidR="00753E79" w:rsidRDefault="00753E79" w:rsidP="009348BE">
            <w:pPr>
              <w:pStyle w:val="ListParagraph"/>
              <w:spacing w:line="276" w:lineRule="auto"/>
              <w:ind w:left="0" w:right="-432"/>
            </w:pPr>
            <w:r>
              <w:t>1</w:t>
            </w:r>
            <w:r w:rsidRPr="009A2D44">
              <w:rPr>
                <w:vertAlign w:val="superscript"/>
              </w:rPr>
              <w:t>st</w:t>
            </w:r>
            <w:r>
              <w:t xml:space="preserve"> </w:t>
            </w:r>
          </w:p>
        </w:tc>
        <w:tc>
          <w:tcPr>
            <w:tcW w:w="1852" w:type="dxa"/>
          </w:tcPr>
          <w:p w14:paraId="2F3C046F" w14:textId="217EF5E0" w:rsidR="00753E79" w:rsidRDefault="00753E79" w:rsidP="009348BE">
            <w:pPr>
              <w:pStyle w:val="ListParagraph"/>
              <w:spacing w:line="276" w:lineRule="auto"/>
              <w:ind w:left="0" w:right="-432"/>
            </w:pPr>
            <w:r>
              <w:t>13.03</w:t>
            </w:r>
          </w:p>
        </w:tc>
        <w:tc>
          <w:tcPr>
            <w:tcW w:w="1870" w:type="dxa"/>
          </w:tcPr>
          <w:p w14:paraId="2C82F5B6" w14:textId="7207D535" w:rsidR="00753E79" w:rsidRDefault="00753E79" w:rsidP="009348BE">
            <w:pPr>
              <w:pStyle w:val="ListParagraph"/>
              <w:spacing w:line="276" w:lineRule="auto"/>
              <w:ind w:left="0" w:right="-432"/>
            </w:pPr>
            <w:r>
              <w:t>7.00</w:t>
            </w:r>
          </w:p>
        </w:tc>
        <w:tc>
          <w:tcPr>
            <w:tcW w:w="1852" w:type="dxa"/>
          </w:tcPr>
          <w:p w14:paraId="3719035C" w14:textId="5EA9F7E8" w:rsidR="00753E79" w:rsidRDefault="00753E79" w:rsidP="009348BE">
            <w:pPr>
              <w:pStyle w:val="ListParagraph"/>
              <w:spacing w:line="276" w:lineRule="auto"/>
              <w:ind w:left="0" w:right="-432"/>
            </w:pPr>
            <w:r>
              <w:t>91.21</w:t>
            </w:r>
          </w:p>
        </w:tc>
      </w:tr>
      <w:tr w:rsidR="00753E79" w14:paraId="6A52D329" w14:textId="77777777" w:rsidTr="00EB5FD4">
        <w:trPr>
          <w:jc w:val="center"/>
        </w:trPr>
        <w:tc>
          <w:tcPr>
            <w:tcW w:w="1842" w:type="dxa"/>
          </w:tcPr>
          <w:p w14:paraId="5F09EB6C" w14:textId="77777777" w:rsidR="00753E79" w:rsidRDefault="00753E79" w:rsidP="009348BE">
            <w:pPr>
              <w:pStyle w:val="ListParagraph"/>
              <w:spacing w:line="276" w:lineRule="auto"/>
              <w:ind w:left="0" w:right="-432"/>
            </w:pPr>
            <w:r>
              <w:t>2</w:t>
            </w:r>
            <w:r w:rsidRPr="009A2D44">
              <w:rPr>
                <w:vertAlign w:val="superscript"/>
              </w:rPr>
              <w:t>nd</w:t>
            </w:r>
            <w:r>
              <w:t xml:space="preserve"> </w:t>
            </w:r>
          </w:p>
        </w:tc>
        <w:tc>
          <w:tcPr>
            <w:tcW w:w="1852" w:type="dxa"/>
          </w:tcPr>
          <w:p w14:paraId="1A99884C" w14:textId="0B6462A8" w:rsidR="00753E79" w:rsidRDefault="00753E79" w:rsidP="009348BE">
            <w:pPr>
              <w:pStyle w:val="ListParagraph"/>
              <w:spacing w:line="276" w:lineRule="auto"/>
              <w:ind w:left="0" w:right="-432"/>
            </w:pPr>
            <w:r>
              <w:t>13.03</w:t>
            </w:r>
          </w:p>
        </w:tc>
        <w:tc>
          <w:tcPr>
            <w:tcW w:w="1870" w:type="dxa"/>
          </w:tcPr>
          <w:p w14:paraId="0F0E7AF8" w14:textId="45B6C8FB" w:rsidR="00753E79" w:rsidRDefault="00753E79" w:rsidP="009348BE">
            <w:pPr>
              <w:pStyle w:val="ListParagraph"/>
              <w:spacing w:line="276" w:lineRule="auto"/>
              <w:ind w:left="0" w:right="-432"/>
            </w:pPr>
            <w:r>
              <w:t>5.50</w:t>
            </w:r>
          </w:p>
        </w:tc>
        <w:tc>
          <w:tcPr>
            <w:tcW w:w="1852" w:type="dxa"/>
          </w:tcPr>
          <w:p w14:paraId="399027C7" w14:textId="56079EF0" w:rsidR="00753E79" w:rsidRDefault="00753E79" w:rsidP="009348BE">
            <w:pPr>
              <w:pStyle w:val="ListParagraph"/>
              <w:spacing w:line="276" w:lineRule="auto"/>
              <w:ind w:left="0" w:right="-432"/>
            </w:pPr>
            <w:r>
              <w:t>71.67</w:t>
            </w:r>
          </w:p>
        </w:tc>
      </w:tr>
      <w:tr w:rsidR="00753E79" w14:paraId="7FFA3D70" w14:textId="77777777" w:rsidTr="00EB5FD4">
        <w:trPr>
          <w:jc w:val="center"/>
        </w:trPr>
        <w:tc>
          <w:tcPr>
            <w:tcW w:w="1842" w:type="dxa"/>
          </w:tcPr>
          <w:p w14:paraId="067BABE2" w14:textId="77777777" w:rsidR="00753E79" w:rsidRDefault="00753E79" w:rsidP="009348BE">
            <w:pPr>
              <w:pStyle w:val="ListParagraph"/>
              <w:spacing w:line="276" w:lineRule="auto"/>
              <w:ind w:left="0" w:right="-432"/>
            </w:pPr>
            <w:r>
              <w:t>3</w:t>
            </w:r>
            <w:r w:rsidRPr="00EB5FD4">
              <w:rPr>
                <w:vertAlign w:val="superscript"/>
              </w:rPr>
              <w:t>rd</w:t>
            </w:r>
          </w:p>
        </w:tc>
        <w:tc>
          <w:tcPr>
            <w:tcW w:w="1852" w:type="dxa"/>
          </w:tcPr>
          <w:p w14:paraId="517DA45D" w14:textId="22532F2A" w:rsidR="00753E79" w:rsidRDefault="00753E79" w:rsidP="009348BE">
            <w:pPr>
              <w:pStyle w:val="ListParagraph"/>
              <w:spacing w:line="276" w:lineRule="auto"/>
              <w:ind w:left="0" w:right="-432"/>
            </w:pPr>
            <w:r>
              <w:t>13.03</w:t>
            </w:r>
          </w:p>
        </w:tc>
        <w:tc>
          <w:tcPr>
            <w:tcW w:w="1870" w:type="dxa"/>
          </w:tcPr>
          <w:p w14:paraId="5C176484" w14:textId="5E5DB030" w:rsidR="00753E79" w:rsidRDefault="00753E79" w:rsidP="009348BE">
            <w:pPr>
              <w:pStyle w:val="ListParagraph"/>
              <w:spacing w:line="276" w:lineRule="auto"/>
              <w:ind w:left="0" w:right="-432"/>
            </w:pPr>
            <w:r>
              <w:t>4.25</w:t>
            </w:r>
          </w:p>
        </w:tc>
        <w:tc>
          <w:tcPr>
            <w:tcW w:w="1852" w:type="dxa"/>
          </w:tcPr>
          <w:p w14:paraId="087808E7" w14:textId="09767F79" w:rsidR="00753E79" w:rsidRDefault="00753E79" w:rsidP="009348BE">
            <w:pPr>
              <w:pStyle w:val="ListParagraph"/>
              <w:spacing w:line="276" w:lineRule="auto"/>
              <w:ind w:left="0" w:right="-432"/>
            </w:pPr>
            <w:r>
              <w:t>55.38</w:t>
            </w:r>
          </w:p>
        </w:tc>
      </w:tr>
      <w:tr w:rsidR="00753E79" w14:paraId="07616076" w14:textId="77777777" w:rsidTr="00EB5FD4">
        <w:trPr>
          <w:jc w:val="center"/>
        </w:trPr>
        <w:tc>
          <w:tcPr>
            <w:tcW w:w="1842" w:type="dxa"/>
          </w:tcPr>
          <w:p w14:paraId="3E13E261" w14:textId="77777777" w:rsidR="00753E79" w:rsidRDefault="00753E79" w:rsidP="009348BE">
            <w:pPr>
              <w:pStyle w:val="ListParagraph"/>
              <w:spacing w:line="276" w:lineRule="auto"/>
              <w:ind w:left="0" w:right="-432"/>
            </w:pPr>
            <w:r>
              <w:t>4</w:t>
            </w:r>
            <w:r w:rsidRPr="00EB5FD4">
              <w:rPr>
                <w:vertAlign w:val="superscript"/>
              </w:rPr>
              <w:t>th</w:t>
            </w:r>
            <w:r>
              <w:t xml:space="preserve"> </w:t>
            </w:r>
          </w:p>
        </w:tc>
        <w:tc>
          <w:tcPr>
            <w:tcW w:w="1852" w:type="dxa"/>
          </w:tcPr>
          <w:p w14:paraId="1BE08446" w14:textId="65831D5A" w:rsidR="00753E79" w:rsidRDefault="00753E79" w:rsidP="009348BE">
            <w:pPr>
              <w:pStyle w:val="ListParagraph"/>
              <w:spacing w:line="276" w:lineRule="auto"/>
              <w:ind w:left="0" w:right="-432"/>
            </w:pPr>
            <w:r>
              <w:t>13.03</w:t>
            </w:r>
          </w:p>
        </w:tc>
        <w:tc>
          <w:tcPr>
            <w:tcW w:w="1870" w:type="dxa"/>
          </w:tcPr>
          <w:p w14:paraId="0F3F2D87" w14:textId="0199D544" w:rsidR="00753E79" w:rsidRDefault="00753E79" w:rsidP="009348BE">
            <w:pPr>
              <w:pStyle w:val="ListParagraph"/>
              <w:spacing w:line="276" w:lineRule="auto"/>
              <w:ind w:left="0" w:right="-432"/>
            </w:pPr>
            <w:r>
              <w:t>3.00</w:t>
            </w:r>
          </w:p>
        </w:tc>
        <w:tc>
          <w:tcPr>
            <w:tcW w:w="1852" w:type="dxa"/>
          </w:tcPr>
          <w:p w14:paraId="05C23B16" w14:textId="0022960D" w:rsidR="00753E79" w:rsidRDefault="00753E79" w:rsidP="009348BE">
            <w:pPr>
              <w:pStyle w:val="ListParagraph"/>
              <w:spacing w:line="276" w:lineRule="auto"/>
              <w:ind w:left="0" w:right="-432"/>
            </w:pPr>
            <w:r>
              <w:t>39.09</w:t>
            </w:r>
          </w:p>
        </w:tc>
      </w:tr>
    </w:tbl>
    <w:p w14:paraId="1A74AB71" w14:textId="77777777" w:rsidR="00EB5FD4" w:rsidRDefault="00EB5FD4" w:rsidP="009348BE">
      <w:pPr>
        <w:ind w:right="-432"/>
      </w:pPr>
    </w:p>
    <w:p w14:paraId="0C27B34D" w14:textId="75E6DA82" w:rsidR="00EB5FD4" w:rsidRDefault="00EB5FD4" w:rsidP="009348BE">
      <w:pPr>
        <w:ind w:right="-432"/>
      </w:pPr>
      <w:r>
        <w:t xml:space="preserve">Example 7: 2015 Women’s World Championship: SFM: </w:t>
      </w:r>
      <w:r w:rsidR="00154570">
        <w:t>3.12 - (3.12/12)*24 = 6.24*(0.875 # multiplier)*(1.0 - no purse multipli</w:t>
      </w:r>
      <w:r w:rsidR="00CF48F2">
        <w:t>er)*(1.35 importance factor) = 10</w:t>
      </w:r>
      <w:r w:rsidR="00154570">
        <w:t>.37</w:t>
      </w:r>
    </w:p>
    <w:p w14:paraId="1A5B57CA" w14:textId="77777777" w:rsidR="00154570" w:rsidRDefault="00154570" w:rsidP="009348BE">
      <w:pPr>
        <w:ind w:right="-432"/>
      </w:pPr>
    </w:p>
    <w:tbl>
      <w:tblPr>
        <w:tblStyle w:val="TableGrid"/>
        <w:tblW w:w="0" w:type="auto"/>
        <w:jc w:val="center"/>
        <w:tblInd w:w="1440" w:type="dxa"/>
        <w:tblLook w:val="04A0" w:firstRow="1" w:lastRow="0" w:firstColumn="1" w:lastColumn="0" w:noHBand="0" w:noVBand="1"/>
      </w:tblPr>
      <w:tblGrid>
        <w:gridCol w:w="1842"/>
        <w:gridCol w:w="1852"/>
        <w:gridCol w:w="1870"/>
        <w:gridCol w:w="1852"/>
      </w:tblGrid>
      <w:tr w:rsidR="00154570" w14:paraId="1741383E" w14:textId="77777777" w:rsidTr="00574F9C">
        <w:trPr>
          <w:jc w:val="center"/>
        </w:trPr>
        <w:tc>
          <w:tcPr>
            <w:tcW w:w="1842" w:type="dxa"/>
          </w:tcPr>
          <w:p w14:paraId="68520523" w14:textId="77777777" w:rsidR="00154570" w:rsidRPr="00753E79" w:rsidRDefault="00154570" w:rsidP="009348BE">
            <w:pPr>
              <w:pStyle w:val="ListParagraph"/>
              <w:spacing w:line="276" w:lineRule="auto"/>
              <w:ind w:left="0" w:right="-432"/>
              <w:rPr>
                <w:b/>
              </w:rPr>
            </w:pPr>
            <w:r w:rsidRPr="00753E79">
              <w:rPr>
                <w:b/>
              </w:rPr>
              <w:t>Place</w:t>
            </w:r>
          </w:p>
        </w:tc>
        <w:tc>
          <w:tcPr>
            <w:tcW w:w="1852" w:type="dxa"/>
          </w:tcPr>
          <w:p w14:paraId="2D9C0BDF" w14:textId="77777777" w:rsidR="00154570" w:rsidRPr="00753E79" w:rsidRDefault="00154570" w:rsidP="009348BE">
            <w:pPr>
              <w:pStyle w:val="ListParagraph"/>
              <w:spacing w:line="276" w:lineRule="auto"/>
              <w:ind w:left="0" w:right="-432"/>
              <w:rPr>
                <w:b/>
              </w:rPr>
            </w:pPr>
            <w:r w:rsidRPr="00753E79">
              <w:rPr>
                <w:b/>
              </w:rPr>
              <w:t>SFM</w:t>
            </w:r>
          </w:p>
        </w:tc>
        <w:tc>
          <w:tcPr>
            <w:tcW w:w="1870" w:type="dxa"/>
          </w:tcPr>
          <w:p w14:paraId="56804307" w14:textId="77777777" w:rsidR="00154570" w:rsidRPr="00753E79" w:rsidRDefault="00154570" w:rsidP="009348BE">
            <w:pPr>
              <w:pStyle w:val="ListParagraph"/>
              <w:spacing w:line="276" w:lineRule="auto"/>
              <w:ind w:left="0" w:right="-432"/>
              <w:rPr>
                <w:b/>
              </w:rPr>
            </w:pPr>
            <w:r w:rsidRPr="00753E79">
              <w:rPr>
                <w:b/>
              </w:rPr>
              <w:t>Base Points</w:t>
            </w:r>
          </w:p>
        </w:tc>
        <w:tc>
          <w:tcPr>
            <w:tcW w:w="1852" w:type="dxa"/>
          </w:tcPr>
          <w:p w14:paraId="1198354B" w14:textId="77777777" w:rsidR="00154570" w:rsidRPr="00753E79" w:rsidRDefault="00154570" w:rsidP="009348BE">
            <w:pPr>
              <w:pStyle w:val="ListParagraph"/>
              <w:spacing w:line="276" w:lineRule="auto"/>
              <w:ind w:left="0" w:right="-432"/>
              <w:rPr>
                <w:b/>
              </w:rPr>
            </w:pPr>
            <w:r w:rsidRPr="00753E79">
              <w:rPr>
                <w:b/>
              </w:rPr>
              <w:t>Total</w:t>
            </w:r>
          </w:p>
        </w:tc>
      </w:tr>
      <w:tr w:rsidR="00753E79" w14:paraId="24B99649" w14:textId="77777777" w:rsidTr="00574F9C">
        <w:trPr>
          <w:jc w:val="center"/>
        </w:trPr>
        <w:tc>
          <w:tcPr>
            <w:tcW w:w="1842" w:type="dxa"/>
          </w:tcPr>
          <w:p w14:paraId="3C176CA1" w14:textId="77777777" w:rsidR="00753E79" w:rsidRDefault="00753E79" w:rsidP="009348BE">
            <w:pPr>
              <w:pStyle w:val="ListParagraph"/>
              <w:spacing w:line="276" w:lineRule="auto"/>
              <w:ind w:left="0" w:right="-432"/>
            </w:pPr>
            <w:bookmarkStart w:id="0" w:name="_GoBack" w:colFirst="2" w:colLast="2"/>
            <w:r>
              <w:t>1</w:t>
            </w:r>
            <w:r w:rsidRPr="009A2D44">
              <w:rPr>
                <w:vertAlign w:val="superscript"/>
              </w:rPr>
              <w:t>st</w:t>
            </w:r>
            <w:r>
              <w:t xml:space="preserve"> </w:t>
            </w:r>
          </w:p>
        </w:tc>
        <w:tc>
          <w:tcPr>
            <w:tcW w:w="1852" w:type="dxa"/>
          </w:tcPr>
          <w:p w14:paraId="69AF289D" w14:textId="6BBBD09B" w:rsidR="00753E79" w:rsidRDefault="00753E79" w:rsidP="009348BE">
            <w:pPr>
              <w:pStyle w:val="ListParagraph"/>
              <w:spacing w:line="276" w:lineRule="auto"/>
              <w:ind w:left="0" w:right="-432"/>
            </w:pPr>
            <w:r>
              <w:t>10.37</w:t>
            </w:r>
          </w:p>
        </w:tc>
        <w:tc>
          <w:tcPr>
            <w:tcW w:w="1870" w:type="dxa"/>
          </w:tcPr>
          <w:p w14:paraId="7FB5FDDA" w14:textId="3847B0DD" w:rsidR="00753E79" w:rsidRDefault="00753E79" w:rsidP="009348BE">
            <w:pPr>
              <w:pStyle w:val="ListParagraph"/>
              <w:spacing w:line="276" w:lineRule="auto"/>
              <w:ind w:left="0" w:right="-432"/>
            </w:pPr>
            <w:r>
              <w:t>7.00</w:t>
            </w:r>
          </w:p>
        </w:tc>
        <w:tc>
          <w:tcPr>
            <w:tcW w:w="1852" w:type="dxa"/>
          </w:tcPr>
          <w:p w14:paraId="03D886D7" w14:textId="2D75CF55" w:rsidR="00753E79" w:rsidRDefault="00753E79" w:rsidP="009348BE">
            <w:pPr>
              <w:pStyle w:val="ListParagraph"/>
              <w:spacing w:line="276" w:lineRule="auto"/>
              <w:ind w:left="0" w:right="-432"/>
            </w:pPr>
            <w:r>
              <w:t>72.59</w:t>
            </w:r>
          </w:p>
        </w:tc>
      </w:tr>
      <w:tr w:rsidR="00753E79" w14:paraId="5EF179F4" w14:textId="77777777" w:rsidTr="00574F9C">
        <w:trPr>
          <w:jc w:val="center"/>
        </w:trPr>
        <w:tc>
          <w:tcPr>
            <w:tcW w:w="1842" w:type="dxa"/>
          </w:tcPr>
          <w:p w14:paraId="7EC7407D" w14:textId="77777777" w:rsidR="00753E79" w:rsidRDefault="00753E79" w:rsidP="009348BE">
            <w:pPr>
              <w:pStyle w:val="ListParagraph"/>
              <w:spacing w:line="276" w:lineRule="auto"/>
              <w:ind w:left="0" w:right="-432"/>
            </w:pPr>
            <w:r>
              <w:t>2</w:t>
            </w:r>
            <w:r w:rsidRPr="009A2D44">
              <w:rPr>
                <w:vertAlign w:val="superscript"/>
              </w:rPr>
              <w:t>nd</w:t>
            </w:r>
            <w:r>
              <w:t xml:space="preserve"> </w:t>
            </w:r>
          </w:p>
        </w:tc>
        <w:tc>
          <w:tcPr>
            <w:tcW w:w="1852" w:type="dxa"/>
          </w:tcPr>
          <w:p w14:paraId="3D01F0AC" w14:textId="46C67718" w:rsidR="00753E79" w:rsidRDefault="00753E79" w:rsidP="009348BE">
            <w:pPr>
              <w:pStyle w:val="ListParagraph"/>
              <w:spacing w:line="276" w:lineRule="auto"/>
              <w:ind w:left="0" w:right="-432"/>
            </w:pPr>
            <w:r>
              <w:t>10.37</w:t>
            </w:r>
          </w:p>
        </w:tc>
        <w:tc>
          <w:tcPr>
            <w:tcW w:w="1870" w:type="dxa"/>
          </w:tcPr>
          <w:p w14:paraId="0E7ADAAB" w14:textId="36CE9356" w:rsidR="00753E79" w:rsidRDefault="00753E79" w:rsidP="009348BE">
            <w:pPr>
              <w:pStyle w:val="ListParagraph"/>
              <w:spacing w:line="276" w:lineRule="auto"/>
              <w:ind w:left="0" w:right="-432"/>
            </w:pPr>
            <w:r>
              <w:t>5.50</w:t>
            </w:r>
          </w:p>
        </w:tc>
        <w:tc>
          <w:tcPr>
            <w:tcW w:w="1852" w:type="dxa"/>
          </w:tcPr>
          <w:p w14:paraId="1A237FFB" w14:textId="46D33A8E" w:rsidR="00753E79" w:rsidRDefault="00753E79" w:rsidP="009348BE">
            <w:pPr>
              <w:pStyle w:val="ListParagraph"/>
              <w:spacing w:line="276" w:lineRule="auto"/>
              <w:ind w:left="0" w:right="-432"/>
            </w:pPr>
            <w:r>
              <w:t>57.04</w:t>
            </w:r>
          </w:p>
        </w:tc>
      </w:tr>
      <w:tr w:rsidR="00753E79" w14:paraId="4989625D" w14:textId="77777777" w:rsidTr="00574F9C">
        <w:trPr>
          <w:jc w:val="center"/>
        </w:trPr>
        <w:tc>
          <w:tcPr>
            <w:tcW w:w="1842" w:type="dxa"/>
          </w:tcPr>
          <w:p w14:paraId="70E06133" w14:textId="77777777" w:rsidR="00753E79" w:rsidRDefault="00753E79" w:rsidP="009348BE">
            <w:pPr>
              <w:pStyle w:val="ListParagraph"/>
              <w:spacing w:line="276" w:lineRule="auto"/>
              <w:ind w:left="0" w:right="-432"/>
            </w:pPr>
            <w:r>
              <w:t>3</w:t>
            </w:r>
            <w:r w:rsidRPr="00EB5FD4">
              <w:rPr>
                <w:vertAlign w:val="superscript"/>
              </w:rPr>
              <w:t>rd</w:t>
            </w:r>
          </w:p>
        </w:tc>
        <w:tc>
          <w:tcPr>
            <w:tcW w:w="1852" w:type="dxa"/>
          </w:tcPr>
          <w:p w14:paraId="6AFDE061" w14:textId="4043494E" w:rsidR="00753E79" w:rsidRDefault="00753E79" w:rsidP="009348BE">
            <w:pPr>
              <w:pStyle w:val="ListParagraph"/>
              <w:spacing w:line="276" w:lineRule="auto"/>
              <w:ind w:left="0" w:right="-432"/>
            </w:pPr>
            <w:r>
              <w:t>10.37</w:t>
            </w:r>
          </w:p>
        </w:tc>
        <w:tc>
          <w:tcPr>
            <w:tcW w:w="1870" w:type="dxa"/>
          </w:tcPr>
          <w:p w14:paraId="2895D703" w14:textId="7E833C09" w:rsidR="00753E79" w:rsidRDefault="00753E79" w:rsidP="009348BE">
            <w:pPr>
              <w:pStyle w:val="ListParagraph"/>
              <w:spacing w:line="276" w:lineRule="auto"/>
              <w:ind w:left="0" w:right="-432"/>
            </w:pPr>
            <w:r>
              <w:t>4.25</w:t>
            </w:r>
          </w:p>
        </w:tc>
        <w:tc>
          <w:tcPr>
            <w:tcW w:w="1852" w:type="dxa"/>
          </w:tcPr>
          <w:p w14:paraId="1766459D" w14:textId="476D32A4" w:rsidR="00753E79" w:rsidRDefault="00753E79" w:rsidP="009348BE">
            <w:pPr>
              <w:pStyle w:val="ListParagraph"/>
              <w:spacing w:line="276" w:lineRule="auto"/>
              <w:ind w:left="0" w:right="-432"/>
            </w:pPr>
            <w:r>
              <w:t>44.07</w:t>
            </w:r>
          </w:p>
        </w:tc>
      </w:tr>
      <w:tr w:rsidR="00753E79" w14:paraId="1CCAC7C0" w14:textId="77777777" w:rsidTr="00574F9C">
        <w:trPr>
          <w:jc w:val="center"/>
        </w:trPr>
        <w:tc>
          <w:tcPr>
            <w:tcW w:w="1842" w:type="dxa"/>
          </w:tcPr>
          <w:p w14:paraId="368F6AD1" w14:textId="77777777" w:rsidR="00753E79" w:rsidRDefault="00753E79" w:rsidP="009348BE">
            <w:pPr>
              <w:pStyle w:val="ListParagraph"/>
              <w:spacing w:line="276" w:lineRule="auto"/>
              <w:ind w:left="0" w:right="-432"/>
            </w:pPr>
            <w:r>
              <w:t>4</w:t>
            </w:r>
            <w:r w:rsidRPr="00EB5FD4">
              <w:rPr>
                <w:vertAlign w:val="superscript"/>
              </w:rPr>
              <w:t>th</w:t>
            </w:r>
            <w:r>
              <w:t xml:space="preserve"> </w:t>
            </w:r>
          </w:p>
        </w:tc>
        <w:tc>
          <w:tcPr>
            <w:tcW w:w="1852" w:type="dxa"/>
          </w:tcPr>
          <w:p w14:paraId="3701B662" w14:textId="2F4FED3D" w:rsidR="00753E79" w:rsidRDefault="00753E79" w:rsidP="009348BE">
            <w:pPr>
              <w:pStyle w:val="ListParagraph"/>
              <w:spacing w:line="276" w:lineRule="auto"/>
              <w:ind w:left="0" w:right="-432"/>
            </w:pPr>
            <w:r>
              <w:t>10.37</w:t>
            </w:r>
          </w:p>
        </w:tc>
        <w:tc>
          <w:tcPr>
            <w:tcW w:w="1870" w:type="dxa"/>
          </w:tcPr>
          <w:p w14:paraId="57BE9B00" w14:textId="0EAD5004" w:rsidR="00753E79" w:rsidRDefault="00753E79" w:rsidP="009348BE">
            <w:pPr>
              <w:pStyle w:val="ListParagraph"/>
              <w:spacing w:line="276" w:lineRule="auto"/>
              <w:ind w:left="0" w:right="-432"/>
            </w:pPr>
            <w:r>
              <w:t>3.00</w:t>
            </w:r>
          </w:p>
        </w:tc>
        <w:tc>
          <w:tcPr>
            <w:tcW w:w="1852" w:type="dxa"/>
          </w:tcPr>
          <w:p w14:paraId="464D4131" w14:textId="5DF8C8C1" w:rsidR="00753E79" w:rsidRDefault="00753E79" w:rsidP="009348BE">
            <w:pPr>
              <w:pStyle w:val="ListParagraph"/>
              <w:spacing w:line="276" w:lineRule="auto"/>
              <w:ind w:left="0" w:right="-432"/>
            </w:pPr>
            <w:r>
              <w:t>31.11</w:t>
            </w:r>
          </w:p>
        </w:tc>
      </w:tr>
      <w:bookmarkEnd w:id="0"/>
    </w:tbl>
    <w:p w14:paraId="3D43AD09" w14:textId="77777777" w:rsidR="00154570" w:rsidRPr="00E716C4" w:rsidRDefault="00154570" w:rsidP="009348BE">
      <w:pPr>
        <w:ind w:right="-432"/>
      </w:pPr>
    </w:p>
    <w:sectPr w:rsidR="00154570" w:rsidRPr="00E716C4" w:rsidSect="003F5510">
      <w:footerReference w:type="even"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E6B24" w14:textId="77777777" w:rsidR="009348BE" w:rsidRDefault="009348BE" w:rsidP="00590532">
      <w:r>
        <w:separator/>
      </w:r>
    </w:p>
  </w:endnote>
  <w:endnote w:type="continuationSeparator" w:id="0">
    <w:p w14:paraId="3A03FF36" w14:textId="77777777" w:rsidR="009348BE" w:rsidRDefault="009348BE" w:rsidP="0059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526F9" w14:textId="77777777" w:rsidR="009348BE" w:rsidRDefault="009348BE" w:rsidP="005905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5BFDD1" w14:textId="77777777" w:rsidR="009348BE" w:rsidRDefault="009348BE" w:rsidP="0059053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BE4B3" w14:textId="77777777" w:rsidR="009348BE" w:rsidRDefault="009348BE" w:rsidP="005905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3E79">
      <w:rPr>
        <w:rStyle w:val="PageNumber"/>
        <w:noProof/>
      </w:rPr>
      <w:t>11</w:t>
    </w:r>
    <w:r>
      <w:rPr>
        <w:rStyle w:val="PageNumber"/>
      </w:rPr>
      <w:fldChar w:fldCharType="end"/>
    </w:r>
  </w:p>
  <w:p w14:paraId="34591232" w14:textId="77777777" w:rsidR="009348BE" w:rsidRDefault="009348BE" w:rsidP="0059053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AE8E2" w14:textId="77777777" w:rsidR="009348BE" w:rsidRDefault="009348BE" w:rsidP="00590532">
      <w:r>
        <w:separator/>
      </w:r>
    </w:p>
  </w:footnote>
  <w:footnote w:type="continuationSeparator" w:id="0">
    <w:p w14:paraId="1EC49804" w14:textId="77777777" w:rsidR="009348BE" w:rsidRDefault="009348BE" w:rsidP="005905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6172B"/>
    <w:multiLevelType w:val="hybridMultilevel"/>
    <w:tmpl w:val="02F27A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E4343C5"/>
    <w:multiLevelType w:val="hybridMultilevel"/>
    <w:tmpl w:val="4C28EE5C"/>
    <w:lvl w:ilvl="0" w:tplc="280EEC22">
      <w:start w:val="1"/>
      <w:numFmt w:val="bullet"/>
      <w:lvlText w:val=""/>
      <w:lvlJc w:val="left"/>
      <w:pPr>
        <w:ind w:left="1440" w:hanging="360"/>
      </w:pPr>
      <w:rPr>
        <w:rFonts w:ascii="Symbol"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EC334B"/>
    <w:multiLevelType w:val="hybridMultilevel"/>
    <w:tmpl w:val="FAD4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865C3"/>
    <w:multiLevelType w:val="multilevel"/>
    <w:tmpl w:val="84AE7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D03FA8"/>
    <w:multiLevelType w:val="hybridMultilevel"/>
    <w:tmpl w:val="7D9AF4E2"/>
    <w:lvl w:ilvl="0" w:tplc="280EEC22">
      <w:start w:val="1"/>
      <w:numFmt w:val="bullet"/>
      <w:lvlText w:val=""/>
      <w:lvlJc w:val="left"/>
      <w:pPr>
        <w:ind w:left="720" w:hanging="360"/>
      </w:pPr>
      <w:rPr>
        <w:rFonts w:ascii="Symbol"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D6417C"/>
    <w:multiLevelType w:val="hybridMultilevel"/>
    <w:tmpl w:val="CD0C04F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D210ADD"/>
    <w:multiLevelType w:val="hybridMultilevel"/>
    <w:tmpl w:val="E73204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8D754E"/>
    <w:multiLevelType w:val="hybridMultilevel"/>
    <w:tmpl w:val="349CD522"/>
    <w:lvl w:ilvl="0" w:tplc="0409000F">
      <w:start w:val="1"/>
      <w:numFmt w:val="decimal"/>
      <w:lvlText w:val="%1."/>
      <w:lvlJc w:val="left"/>
      <w:pPr>
        <w:ind w:left="720" w:hanging="360"/>
      </w:pPr>
      <w:rPr>
        <w:rFonts w:hint="default"/>
      </w:rPr>
    </w:lvl>
    <w:lvl w:ilvl="1" w:tplc="267E2506">
      <w:start w:val="1"/>
      <w:numFmt w:val="bullet"/>
      <w:lvlText w:val="o"/>
      <w:lvlJc w:val="left"/>
      <w:pPr>
        <w:ind w:left="1440" w:hanging="360"/>
      </w:pPr>
      <w:rPr>
        <w:rFonts w:ascii="Courier New" w:hAnsi="Courier New" w:hint="default"/>
        <w:strike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2F2D96"/>
    <w:multiLevelType w:val="hybridMultilevel"/>
    <w:tmpl w:val="CA860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374951"/>
    <w:multiLevelType w:val="hybridMultilevel"/>
    <w:tmpl w:val="F0BCE14C"/>
    <w:lvl w:ilvl="0" w:tplc="280EEC22">
      <w:start w:val="1"/>
      <w:numFmt w:val="bullet"/>
      <w:lvlText w:val=""/>
      <w:lvlJc w:val="left"/>
      <w:pPr>
        <w:ind w:left="1440" w:hanging="360"/>
      </w:pPr>
      <w:rPr>
        <w:rFonts w:ascii="Symbol"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06D4914"/>
    <w:multiLevelType w:val="multilevel"/>
    <w:tmpl w:val="97BC9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E3287F"/>
    <w:multiLevelType w:val="hybridMultilevel"/>
    <w:tmpl w:val="2CEA9B46"/>
    <w:lvl w:ilvl="0" w:tplc="280EEC22">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CA3B3D"/>
    <w:multiLevelType w:val="hybridMultilevel"/>
    <w:tmpl w:val="A2368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7"/>
  </w:num>
  <w:num w:numId="4">
    <w:abstractNumId w:val="8"/>
  </w:num>
  <w:num w:numId="5">
    <w:abstractNumId w:val="3"/>
  </w:num>
  <w:num w:numId="6">
    <w:abstractNumId w:val="10"/>
  </w:num>
  <w:num w:numId="7">
    <w:abstractNumId w:val="6"/>
  </w:num>
  <w:num w:numId="8">
    <w:abstractNumId w:val="12"/>
  </w:num>
  <w:num w:numId="9">
    <w:abstractNumId w:val="1"/>
  </w:num>
  <w:num w:numId="10">
    <w:abstractNumId w:val="4"/>
  </w:num>
  <w:num w:numId="11">
    <w:abstractNumId w:val="5"/>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376"/>
    <w:rsid w:val="000444F5"/>
    <w:rsid w:val="00046D87"/>
    <w:rsid w:val="000B335D"/>
    <w:rsid w:val="000E28E1"/>
    <w:rsid w:val="000F77D4"/>
    <w:rsid w:val="00122AD3"/>
    <w:rsid w:val="001460C9"/>
    <w:rsid w:val="00154570"/>
    <w:rsid w:val="001718F9"/>
    <w:rsid w:val="001823F4"/>
    <w:rsid w:val="001951A5"/>
    <w:rsid w:val="001E02BC"/>
    <w:rsid w:val="001E6D9A"/>
    <w:rsid w:val="0020057F"/>
    <w:rsid w:val="0021083F"/>
    <w:rsid w:val="00213F39"/>
    <w:rsid w:val="00243310"/>
    <w:rsid w:val="002527D7"/>
    <w:rsid w:val="00256BAC"/>
    <w:rsid w:val="002758FC"/>
    <w:rsid w:val="0029320F"/>
    <w:rsid w:val="002A27EE"/>
    <w:rsid w:val="002B5B29"/>
    <w:rsid w:val="002D15BB"/>
    <w:rsid w:val="002D462A"/>
    <w:rsid w:val="002F22F0"/>
    <w:rsid w:val="00315414"/>
    <w:rsid w:val="003409A2"/>
    <w:rsid w:val="003426AA"/>
    <w:rsid w:val="003606B7"/>
    <w:rsid w:val="0036079B"/>
    <w:rsid w:val="003B2897"/>
    <w:rsid w:val="003C5C1F"/>
    <w:rsid w:val="003F22DC"/>
    <w:rsid w:val="003F5510"/>
    <w:rsid w:val="003F5E6D"/>
    <w:rsid w:val="00417647"/>
    <w:rsid w:val="00470E32"/>
    <w:rsid w:val="0047101E"/>
    <w:rsid w:val="004A21BD"/>
    <w:rsid w:val="004B39BE"/>
    <w:rsid w:val="004C413C"/>
    <w:rsid w:val="004D0FAB"/>
    <w:rsid w:val="004E1D11"/>
    <w:rsid w:val="0050785F"/>
    <w:rsid w:val="00522685"/>
    <w:rsid w:val="0053222D"/>
    <w:rsid w:val="00543F31"/>
    <w:rsid w:val="00553541"/>
    <w:rsid w:val="00574F9C"/>
    <w:rsid w:val="00590532"/>
    <w:rsid w:val="005B5376"/>
    <w:rsid w:val="005E3EE9"/>
    <w:rsid w:val="005E6610"/>
    <w:rsid w:val="00630C5A"/>
    <w:rsid w:val="006B4846"/>
    <w:rsid w:val="006C7824"/>
    <w:rsid w:val="006E6B05"/>
    <w:rsid w:val="00720BA6"/>
    <w:rsid w:val="00725500"/>
    <w:rsid w:val="00743041"/>
    <w:rsid w:val="00753E79"/>
    <w:rsid w:val="007623F5"/>
    <w:rsid w:val="007C158C"/>
    <w:rsid w:val="008043C8"/>
    <w:rsid w:val="00831320"/>
    <w:rsid w:val="00846FF9"/>
    <w:rsid w:val="008756A0"/>
    <w:rsid w:val="008D2069"/>
    <w:rsid w:val="008D5023"/>
    <w:rsid w:val="009348BE"/>
    <w:rsid w:val="009640B5"/>
    <w:rsid w:val="00985DC5"/>
    <w:rsid w:val="009B3209"/>
    <w:rsid w:val="00A6781B"/>
    <w:rsid w:val="00AA0F06"/>
    <w:rsid w:val="00AD7E6E"/>
    <w:rsid w:val="00B422B9"/>
    <w:rsid w:val="00B57ED1"/>
    <w:rsid w:val="00B67B05"/>
    <w:rsid w:val="00BB7BFC"/>
    <w:rsid w:val="00BE63C7"/>
    <w:rsid w:val="00C121DF"/>
    <w:rsid w:val="00C14777"/>
    <w:rsid w:val="00C23BF5"/>
    <w:rsid w:val="00C35FED"/>
    <w:rsid w:val="00C53D9C"/>
    <w:rsid w:val="00C66282"/>
    <w:rsid w:val="00CC69FC"/>
    <w:rsid w:val="00CE0F83"/>
    <w:rsid w:val="00CE2154"/>
    <w:rsid w:val="00CF48F2"/>
    <w:rsid w:val="00CF7DC1"/>
    <w:rsid w:val="00D07604"/>
    <w:rsid w:val="00DE2C54"/>
    <w:rsid w:val="00DF3A54"/>
    <w:rsid w:val="00E6388C"/>
    <w:rsid w:val="00E716C4"/>
    <w:rsid w:val="00E94B34"/>
    <w:rsid w:val="00EB5FD4"/>
    <w:rsid w:val="00EB78F2"/>
    <w:rsid w:val="00ED7A83"/>
    <w:rsid w:val="00EE3735"/>
    <w:rsid w:val="00F31D71"/>
    <w:rsid w:val="00F3678C"/>
    <w:rsid w:val="00F449B8"/>
    <w:rsid w:val="00F6778C"/>
    <w:rsid w:val="00F75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660]"/>
    </o:shapedefaults>
    <o:shapelayout v:ext="edit">
      <o:idmap v:ext="edit" data="1"/>
    </o:shapelayout>
  </w:shapeDefaults>
  <w:decimalSymbol w:val="."/>
  <w:listSeparator w:val=","/>
  <w14:docId w14:val="2CC381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32"/>
    <w:pPr>
      <w:ind w:left="720"/>
      <w:contextualSpacing/>
    </w:pPr>
  </w:style>
  <w:style w:type="table" w:styleId="TableGrid">
    <w:name w:val="Table Grid"/>
    <w:basedOn w:val="TableNormal"/>
    <w:uiPriority w:val="59"/>
    <w:rsid w:val="00804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66282"/>
    <w:rPr>
      <w:color w:val="808080"/>
    </w:rPr>
  </w:style>
  <w:style w:type="paragraph" w:styleId="BalloonText">
    <w:name w:val="Balloon Text"/>
    <w:basedOn w:val="Normal"/>
    <w:link w:val="BalloonTextChar"/>
    <w:uiPriority w:val="99"/>
    <w:semiHidden/>
    <w:unhideWhenUsed/>
    <w:rsid w:val="00C66282"/>
    <w:rPr>
      <w:rFonts w:ascii="Lucida Grande" w:hAnsi="Lucida Grande"/>
      <w:sz w:val="18"/>
      <w:szCs w:val="18"/>
    </w:rPr>
  </w:style>
  <w:style w:type="character" w:customStyle="1" w:styleId="BalloonTextChar">
    <w:name w:val="Balloon Text Char"/>
    <w:basedOn w:val="DefaultParagraphFont"/>
    <w:link w:val="BalloonText"/>
    <w:uiPriority w:val="99"/>
    <w:semiHidden/>
    <w:rsid w:val="00C66282"/>
    <w:rPr>
      <w:rFonts w:ascii="Lucida Grande" w:hAnsi="Lucida Grande"/>
      <w:sz w:val="18"/>
      <w:szCs w:val="18"/>
    </w:rPr>
  </w:style>
  <w:style w:type="character" w:customStyle="1" w:styleId="apple-converted-space">
    <w:name w:val="apple-converted-space"/>
    <w:basedOn w:val="DefaultParagraphFont"/>
    <w:rsid w:val="003F22DC"/>
  </w:style>
  <w:style w:type="character" w:styleId="Hyperlink">
    <w:name w:val="Hyperlink"/>
    <w:basedOn w:val="DefaultParagraphFont"/>
    <w:uiPriority w:val="99"/>
    <w:unhideWhenUsed/>
    <w:rsid w:val="000E28E1"/>
    <w:rPr>
      <w:color w:val="0000FF" w:themeColor="hyperlink"/>
      <w:u w:val="single"/>
    </w:rPr>
  </w:style>
  <w:style w:type="paragraph" w:styleId="Footer">
    <w:name w:val="footer"/>
    <w:basedOn w:val="Normal"/>
    <w:link w:val="FooterChar"/>
    <w:uiPriority w:val="99"/>
    <w:unhideWhenUsed/>
    <w:rsid w:val="00590532"/>
    <w:pPr>
      <w:tabs>
        <w:tab w:val="center" w:pos="4320"/>
        <w:tab w:val="right" w:pos="8640"/>
      </w:tabs>
    </w:pPr>
  </w:style>
  <w:style w:type="character" w:customStyle="1" w:styleId="FooterChar">
    <w:name w:val="Footer Char"/>
    <w:basedOn w:val="DefaultParagraphFont"/>
    <w:link w:val="Footer"/>
    <w:uiPriority w:val="99"/>
    <w:rsid w:val="00590532"/>
  </w:style>
  <w:style w:type="character" w:styleId="PageNumber">
    <w:name w:val="page number"/>
    <w:basedOn w:val="DefaultParagraphFont"/>
    <w:uiPriority w:val="99"/>
    <w:semiHidden/>
    <w:unhideWhenUsed/>
    <w:rsid w:val="005905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32"/>
    <w:pPr>
      <w:ind w:left="720"/>
      <w:contextualSpacing/>
    </w:pPr>
  </w:style>
  <w:style w:type="table" w:styleId="TableGrid">
    <w:name w:val="Table Grid"/>
    <w:basedOn w:val="TableNormal"/>
    <w:uiPriority w:val="59"/>
    <w:rsid w:val="00804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66282"/>
    <w:rPr>
      <w:color w:val="808080"/>
    </w:rPr>
  </w:style>
  <w:style w:type="paragraph" w:styleId="BalloonText">
    <w:name w:val="Balloon Text"/>
    <w:basedOn w:val="Normal"/>
    <w:link w:val="BalloonTextChar"/>
    <w:uiPriority w:val="99"/>
    <w:semiHidden/>
    <w:unhideWhenUsed/>
    <w:rsid w:val="00C66282"/>
    <w:rPr>
      <w:rFonts w:ascii="Lucida Grande" w:hAnsi="Lucida Grande"/>
      <w:sz w:val="18"/>
      <w:szCs w:val="18"/>
    </w:rPr>
  </w:style>
  <w:style w:type="character" w:customStyle="1" w:styleId="BalloonTextChar">
    <w:name w:val="Balloon Text Char"/>
    <w:basedOn w:val="DefaultParagraphFont"/>
    <w:link w:val="BalloonText"/>
    <w:uiPriority w:val="99"/>
    <w:semiHidden/>
    <w:rsid w:val="00C66282"/>
    <w:rPr>
      <w:rFonts w:ascii="Lucida Grande" w:hAnsi="Lucida Grande"/>
      <w:sz w:val="18"/>
      <w:szCs w:val="18"/>
    </w:rPr>
  </w:style>
  <w:style w:type="character" w:customStyle="1" w:styleId="apple-converted-space">
    <w:name w:val="apple-converted-space"/>
    <w:basedOn w:val="DefaultParagraphFont"/>
    <w:rsid w:val="003F22DC"/>
  </w:style>
  <w:style w:type="character" w:styleId="Hyperlink">
    <w:name w:val="Hyperlink"/>
    <w:basedOn w:val="DefaultParagraphFont"/>
    <w:uiPriority w:val="99"/>
    <w:unhideWhenUsed/>
    <w:rsid w:val="000E28E1"/>
    <w:rPr>
      <w:color w:val="0000FF" w:themeColor="hyperlink"/>
      <w:u w:val="single"/>
    </w:rPr>
  </w:style>
  <w:style w:type="paragraph" w:styleId="Footer">
    <w:name w:val="footer"/>
    <w:basedOn w:val="Normal"/>
    <w:link w:val="FooterChar"/>
    <w:uiPriority w:val="99"/>
    <w:unhideWhenUsed/>
    <w:rsid w:val="00590532"/>
    <w:pPr>
      <w:tabs>
        <w:tab w:val="center" w:pos="4320"/>
        <w:tab w:val="right" w:pos="8640"/>
      </w:tabs>
    </w:pPr>
  </w:style>
  <w:style w:type="character" w:customStyle="1" w:styleId="FooterChar">
    <w:name w:val="Footer Char"/>
    <w:basedOn w:val="DefaultParagraphFont"/>
    <w:link w:val="Footer"/>
    <w:uiPriority w:val="99"/>
    <w:rsid w:val="00590532"/>
  </w:style>
  <w:style w:type="character" w:styleId="PageNumber">
    <w:name w:val="page number"/>
    <w:basedOn w:val="DefaultParagraphFont"/>
    <w:uiPriority w:val="99"/>
    <w:semiHidden/>
    <w:unhideWhenUsed/>
    <w:rsid w:val="00590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30914">
      <w:bodyDiv w:val="1"/>
      <w:marLeft w:val="0"/>
      <w:marRight w:val="0"/>
      <w:marTop w:val="0"/>
      <w:marBottom w:val="0"/>
      <w:divBdr>
        <w:top w:val="none" w:sz="0" w:space="0" w:color="auto"/>
        <w:left w:val="none" w:sz="0" w:space="0" w:color="auto"/>
        <w:bottom w:val="none" w:sz="0" w:space="0" w:color="auto"/>
        <w:right w:val="none" w:sz="0" w:space="0" w:color="auto"/>
      </w:divBdr>
    </w:div>
    <w:div w:id="535117452">
      <w:bodyDiv w:val="1"/>
      <w:marLeft w:val="0"/>
      <w:marRight w:val="0"/>
      <w:marTop w:val="0"/>
      <w:marBottom w:val="0"/>
      <w:divBdr>
        <w:top w:val="none" w:sz="0" w:space="0" w:color="auto"/>
        <w:left w:val="none" w:sz="0" w:space="0" w:color="auto"/>
        <w:bottom w:val="none" w:sz="0" w:space="0" w:color="auto"/>
        <w:right w:val="none" w:sz="0" w:space="0" w:color="auto"/>
      </w:divBdr>
    </w:div>
    <w:div w:id="561185071">
      <w:bodyDiv w:val="1"/>
      <w:marLeft w:val="0"/>
      <w:marRight w:val="0"/>
      <w:marTop w:val="0"/>
      <w:marBottom w:val="0"/>
      <w:divBdr>
        <w:top w:val="none" w:sz="0" w:space="0" w:color="auto"/>
        <w:left w:val="none" w:sz="0" w:space="0" w:color="auto"/>
        <w:bottom w:val="none" w:sz="0" w:space="0" w:color="auto"/>
        <w:right w:val="none" w:sz="0" w:space="0" w:color="auto"/>
      </w:divBdr>
    </w:div>
    <w:div w:id="919212708">
      <w:bodyDiv w:val="1"/>
      <w:marLeft w:val="0"/>
      <w:marRight w:val="0"/>
      <w:marTop w:val="0"/>
      <w:marBottom w:val="0"/>
      <w:divBdr>
        <w:top w:val="none" w:sz="0" w:space="0" w:color="auto"/>
        <w:left w:val="none" w:sz="0" w:space="0" w:color="auto"/>
        <w:bottom w:val="none" w:sz="0" w:space="0" w:color="auto"/>
        <w:right w:val="none" w:sz="0" w:space="0" w:color="auto"/>
      </w:divBdr>
    </w:div>
    <w:div w:id="1938712255">
      <w:bodyDiv w:val="1"/>
      <w:marLeft w:val="0"/>
      <w:marRight w:val="0"/>
      <w:marTop w:val="0"/>
      <w:marBottom w:val="0"/>
      <w:divBdr>
        <w:top w:val="none" w:sz="0" w:space="0" w:color="auto"/>
        <w:left w:val="none" w:sz="0" w:space="0" w:color="auto"/>
        <w:bottom w:val="none" w:sz="0" w:space="0" w:color="auto"/>
        <w:right w:val="none" w:sz="0" w:space="0" w:color="auto"/>
      </w:divBdr>
    </w:div>
    <w:div w:id="2005544338">
      <w:bodyDiv w:val="1"/>
      <w:marLeft w:val="0"/>
      <w:marRight w:val="0"/>
      <w:marTop w:val="0"/>
      <w:marBottom w:val="0"/>
      <w:divBdr>
        <w:top w:val="none" w:sz="0" w:space="0" w:color="auto"/>
        <w:left w:val="none" w:sz="0" w:space="0" w:color="auto"/>
        <w:bottom w:val="none" w:sz="0" w:space="0" w:color="auto"/>
        <w:right w:val="none" w:sz="0" w:space="0" w:color="auto"/>
      </w:divBdr>
    </w:div>
    <w:div w:id="2049524840">
      <w:bodyDiv w:val="1"/>
      <w:marLeft w:val="0"/>
      <w:marRight w:val="0"/>
      <w:marTop w:val="0"/>
      <w:marBottom w:val="0"/>
      <w:divBdr>
        <w:top w:val="none" w:sz="0" w:space="0" w:color="auto"/>
        <w:left w:val="none" w:sz="0" w:space="0" w:color="auto"/>
        <w:bottom w:val="none" w:sz="0" w:space="0" w:color="auto"/>
        <w:right w:val="none" w:sz="0" w:space="0" w:color="auto"/>
      </w:divBdr>
    </w:div>
    <w:div w:id="2074232238">
      <w:bodyDiv w:val="1"/>
      <w:marLeft w:val="0"/>
      <w:marRight w:val="0"/>
      <w:marTop w:val="0"/>
      <w:marBottom w:val="0"/>
      <w:divBdr>
        <w:top w:val="none" w:sz="0" w:space="0" w:color="auto"/>
        <w:left w:val="none" w:sz="0" w:space="0" w:color="auto"/>
        <w:bottom w:val="none" w:sz="0" w:space="0" w:color="auto"/>
        <w:right w:val="none" w:sz="0" w:space="0" w:color="auto"/>
      </w:divBdr>
    </w:div>
    <w:div w:id="21025560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5C249-83C5-0B4F-AC39-F29D12F1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3475</Words>
  <Characters>19812</Characters>
  <Application>Microsoft Macintosh Word</Application>
  <DocSecurity>0</DocSecurity>
  <Lines>165</Lines>
  <Paragraphs>46</Paragraphs>
  <ScaleCrop>false</ScaleCrop>
  <Company>University of Alberta</Company>
  <LinksUpToDate>false</LinksUpToDate>
  <CharactersWithSpaces>23241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Bottcher</dc:creator>
  <cp:keywords/>
  <dc:description/>
  <cp:lastModifiedBy>Danny Lamoureux</cp:lastModifiedBy>
  <cp:revision>3</cp:revision>
  <cp:lastPrinted>2015-06-04T01:16:00Z</cp:lastPrinted>
  <dcterms:created xsi:type="dcterms:W3CDTF">2015-08-27T15:57:00Z</dcterms:created>
  <dcterms:modified xsi:type="dcterms:W3CDTF">2015-08-27T16:21:00Z</dcterms:modified>
</cp:coreProperties>
</file>